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华文新魏" w:hAnsi="华文新魏" w:eastAsia="华文新魏" w:cs="华文新魏"/>
          <w:b/>
          <w:kern w:val="2"/>
          <w:sz w:val="32"/>
          <w:szCs w:val="32"/>
        </w:rPr>
      </w:pPr>
      <w:r>
        <w:rPr>
          <w:rFonts w:hint="eastAsia" w:ascii="华文新魏" w:hAnsi="华文新魏" w:eastAsia="华文新魏" w:cs="华文新魏"/>
          <w:b/>
          <w:kern w:val="2"/>
          <w:sz w:val="32"/>
          <w:szCs w:val="32"/>
          <w:lang w:val="en-US" w:eastAsia="zh-CN" w:bidi="ar"/>
        </w:rPr>
        <w:t>2018年硕士研究生入学考试科目《舞蹈艺术概论》考试大纲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60" w:lineRule="exact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</w:t>
      </w:r>
    </w:p>
    <w:tbl>
      <w:tblPr>
        <w:tblStyle w:val="3"/>
        <w:tblW w:w="84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6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参考书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楷体_GB2312" w:eastAsia="楷体_GB2312" w:cs="楷体_GB2312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《舞蹈艺术概论》（修订版），隆荫培、徐尔充，上海音乐出版社，2009年版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考试内容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舞蹈艺术基础理论和知识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试卷内容结构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舞蹈基础理论知识占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试卷难易结构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难度适中，达到本科毕业要求水平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试卷题型结构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名词解释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、简答题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30%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、论述题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试卷分值结构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名词解释、简答题、论述题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评分标准和要求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主观题型的判分采取的是整体评分的原则，全方位客观评判</w:t>
            </w:r>
            <w:r>
              <w:rPr>
                <w:rFonts w:hint="eastAsia" w:ascii="Verdana" w:hAnsi="Verdana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考生掌握知识的程度</w:t>
            </w:r>
            <w:r>
              <w:rPr>
                <w:rFonts w:hint="default" w:ascii="Verdana" w:hAnsi="Verdana" w:cs="Verdana" w:eastAsiaTheme="minorEastAsia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和答题的总体质量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备  注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一级学科硕士点召集人签名：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 xml:space="preserve">                       (学院盖章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)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学院分管院长签名：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color w:val="000000"/>
          <w:kern w:val="2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94040"/>
    <w:rsid w:val="334940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2017-09-14T02:48:00Z</dcterms:created>
  <dc:creator>dell</dc:creator>
  <cp:lastModifiedBy>dell</cp:lastModifiedBy>
  <dcterms:modified xsi:type="dcterms:W3CDTF">2017-09-14T02:52:17Z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