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jc w:val="center"/>
        <w:rPr>
          <w:rFonts w:ascii="楷体" w:hAnsi="楷体" w:eastAsia="楷体"/>
          <w:sz w:val="36"/>
        </w:rPr>
      </w:pPr>
      <w:r>
        <w:rPr>
          <w:rFonts w:hint="eastAsia" w:ascii="楷体" w:hAnsi="楷体" w:eastAsia="楷体"/>
          <w:b/>
          <w:color w:val="000000"/>
          <w:sz w:val="32"/>
        </w:rPr>
        <w:t>2022年硕士研究生招生专业考试大纲</w:t>
      </w:r>
      <w:bookmarkStart w:id="0" w:name="_GoBack"/>
      <w:bookmarkEnd w:id="0"/>
    </w:p>
    <w:p>
      <w:pPr>
        <w:spacing w:line="360" w:lineRule="auto"/>
        <w:ind w:left="0"/>
        <w:rPr>
          <w:rFonts w:hint="default" w:ascii="楷体" w:hAnsi="楷体" w:eastAsia="楷体"/>
          <w:color w:val="000000"/>
          <w:sz w:val="24"/>
          <w:szCs w:val="24"/>
          <w:lang w:val="en-US" w:eastAsia="zh-CN"/>
        </w:rPr>
      </w:pPr>
      <w:r>
        <w:rPr>
          <w:rFonts w:hint="eastAsia" w:ascii="楷体" w:hAnsi="楷体" w:eastAsia="楷体"/>
          <w:color w:val="000000"/>
          <w:sz w:val="24"/>
          <w:szCs w:val="24"/>
        </w:rPr>
        <w:t>学院代码：</w:t>
      </w:r>
      <w:r>
        <w:rPr>
          <w:rFonts w:ascii="楷体" w:hAnsi="楷体" w:eastAsia="楷体"/>
          <w:color w:val="000000"/>
          <w:sz w:val="24"/>
          <w:szCs w:val="24"/>
        </w:rPr>
        <w:t>0</w:t>
      </w:r>
      <w:r>
        <w:rPr>
          <w:rFonts w:hint="eastAsia" w:ascii="楷体" w:hAnsi="楷体" w:eastAsia="楷体"/>
          <w:color w:val="000000"/>
          <w:sz w:val="24"/>
          <w:szCs w:val="24"/>
          <w:lang w:val="en-US" w:eastAsia="zh-CN"/>
        </w:rPr>
        <w:t>21</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学院名称：</w:t>
      </w:r>
      <w:r>
        <w:rPr>
          <w:rFonts w:ascii="楷体" w:hAnsi="楷体" w:eastAsia="楷体"/>
          <w:color w:val="000000"/>
          <w:sz w:val="24"/>
          <w:szCs w:val="24"/>
        </w:rPr>
        <w:t>建筑工程学院</w:t>
      </w:r>
    </w:p>
    <w:p>
      <w:pPr>
        <w:spacing w:line="360" w:lineRule="auto"/>
        <w:ind w:left="0"/>
        <w:rPr>
          <w:rFonts w:hint="eastAsia" w:ascii="楷体" w:hAnsi="楷体" w:eastAsia="楷体"/>
          <w:color w:val="000000"/>
          <w:sz w:val="24"/>
          <w:szCs w:val="24"/>
          <w:lang w:eastAsia="zh-CN"/>
        </w:rPr>
      </w:pPr>
      <w:r>
        <w:rPr>
          <w:rFonts w:hint="eastAsia" w:ascii="楷体" w:hAnsi="楷体" w:eastAsia="楷体"/>
          <w:color w:val="000000"/>
          <w:sz w:val="24"/>
          <w:szCs w:val="24"/>
        </w:rPr>
        <w:t xml:space="preserve">专业代码及专业名称：087100 </w:t>
      </w:r>
      <w:r>
        <w:rPr>
          <w:rFonts w:hint="eastAsia" w:ascii="楷体" w:hAnsi="楷体" w:eastAsia="楷体"/>
          <w:color w:val="000000"/>
          <w:sz w:val="24"/>
          <w:szCs w:val="24"/>
          <w:lang w:eastAsia="zh-CN"/>
        </w:rPr>
        <w:t>管科科学与工程</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初试科目代码及名称：9</w:t>
      </w:r>
      <w:r>
        <w:rPr>
          <w:rFonts w:ascii="楷体" w:hAnsi="楷体" w:eastAsia="楷体"/>
          <w:color w:val="000000"/>
          <w:sz w:val="24"/>
          <w:szCs w:val="24"/>
        </w:rPr>
        <w:t>15</w:t>
      </w:r>
      <w:r>
        <w:rPr>
          <w:rFonts w:hint="eastAsia" w:ascii="楷体" w:hAnsi="楷体" w:eastAsia="楷体"/>
          <w:color w:val="000000"/>
          <w:sz w:val="24"/>
          <w:szCs w:val="24"/>
          <w:lang w:val="en-US" w:eastAsia="zh-CN"/>
        </w:rPr>
        <w:t xml:space="preserve"> </w:t>
      </w:r>
      <w:r>
        <w:rPr>
          <w:rFonts w:hint="eastAsia" w:ascii="楷体" w:hAnsi="楷体" w:eastAsia="楷体"/>
          <w:color w:val="000000"/>
          <w:sz w:val="24"/>
          <w:szCs w:val="24"/>
        </w:rPr>
        <w:t>工程经济学</w:t>
      </w:r>
    </w:p>
    <w:p>
      <w:pPr>
        <w:spacing w:line="360" w:lineRule="auto"/>
        <w:ind w:left="0"/>
        <w:jc w:val="both"/>
        <w:rPr>
          <w:rFonts w:ascii="楷体" w:hAnsi="楷体" w:eastAsia="楷体"/>
          <w:color w:val="000000"/>
          <w:sz w:val="24"/>
          <w:szCs w:val="24"/>
        </w:rPr>
      </w:pPr>
      <w:r>
        <w:rPr>
          <w:rFonts w:ascii="楷体" w:hAnsi="楷体" w:eastAsia="楷体"/>
          <w:color w:val="000000"/>
          <w:sz w:val="24"/>
          <w:szCs w:val="24"/>
        </w:rPr>
        <w:t>一、考试目标及要求</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课程考试的目的在于测试考生对于建筑工程经济的基本概念、基本理论、基础知识的掌握情况以及综合运用分析和解决土木工程技术经济现实问题的能力。</w:t>
      </w:r>
    </w:p>
    <w:p>
      <w:pPr>
        <w:spacing w:line="360" w:lineRule="auto"/>
        <w:ind w:left="0"/>
        <w:jc w:val="both"/>
        <w:rPr>
          <w:rFonts w:ascii="楷体" w:hAnsi="楷体" w:eastAsia="楷体"/>
          <w:color w:val="000000"/>
          <w:sz w:val="24"/>
          <w:szCs w:val="24"/>
        </w:rPr>
      </w:pPr>
      <w:r>
        <w:rPr>
          <w:rFonts w:ascii="楷体" w:hAnsi="楷体" w:eastAsia="楷体"/>
          <w:color w:val="000000"/>
          <w:sz w:val="24"/>
          <w:szCs w:val="24"/>
        </w:rPr>
        <w:t>二、考试形式与考卷结构</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考试形式：闭卷，笔试，卷面总分150分，考试时间180分钟</w:t>
      </w:r>
    </w:p>
    <w:p>
      <w:pPr>
        <w:spacing w:line="360" w:lineRule="auto"/>
        <w:ind w:left="0"/>
        <w:jc w:val="both"/>
        <w:rPr>
          <w:rFonts w:ascii="楷体" w:hAnsi="楷体" w:eastAsia="楷体"/>
          <w:color w:val="000000"/>
          <w:sz w:val="24"/>
          <w:szCs w:val="24"/>
        </w:rPr>
      </w:pPr>
      <w:r>
        <w:rPr>
          <w:rFonts w:ascii="楷体" w:hAnsi="楷体" w:eastAsia="楷体"/>
          <w:color w:val="000000"/>
          <w:sz w:val="24"/>
          <w:szCs w:val="24"/>
        </w:rPr>
        <w:t>三、考试范围</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第一部分 现金流量与资金时间价值</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1.现金流量的基本理论</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现金流量的概念，现金流量图的概念及绘制规则</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2.资金时间价值及基本计算</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资金时间价值的基本概念、资金时间价值的计算</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3.等值转换计算</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等值的概念、计息期小于(或等于)资金收付期的等值计算、计息期大于收付期的等值计算</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第二部分 投资、成本、收入与利润</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1.工程项目投资的构成</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工程项目投资的概念，工程项目总投资的构成，建设投资的构成</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2.各类费用成本的构成</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成本费用含义，经营成本的含义，固定成本的含义，变动成本的含义，营业收入的概念和计算，增值税金及附加的概念和计算，利润总额计算，所得税计算，净利润分配。</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第三部分 工程项目经济评价方法</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1.经济评价的概念及指标体系</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经济评价指标的概念，经济评价指标的分类，经济评价指标的体系</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2.各类经济经济评价指标体系的计算</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3.总投资收益率、资本金利润率、净现值、内部收益率、净现值率、净年值等指标的计算</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4.方案评价</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评价方案的类型，多方案的分类及含义，多方案的经济评价</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第四部分 工程项目风险与不确定性分析</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1.盈亏平衡分析</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盈亏平衡分析的概念及原理，盈亏平衡分析的计算(包括线性盈亏平衡分析和非线性盈亏平衡分析)</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2.敏感性分析</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敏感性分析的基本原理和步骤、敏感性分析的计算(包括单因素的敏感性分析和多因素的敏感性分析)</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3.风险管理基本理论</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风险的概念及分类、工程项目风险的主要来源。</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第五部分 工程项目可行性研究</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1.可行性研究的基本概念及作用</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可行性研究的概念，可行性研究的基本工作程序，可行性研究报告的作用、编制依据、内容及深度要求</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2.市场调查的基本理论及方法</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市场调查的基本概念、市场调查法的主要方法，市场预测的基本概念，市场预测的主要方法。</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第六部分 工程项目财务分析</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1财务分析的基本概念</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财务分析的概念、财务分析与国民经济评价的区别、财务分析的目的与步骤</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2.建设投资的估算方法</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建设投资概略估算方法，建设投资详细估算方法，生产规模指数法、资金周转率法、分项比例估算法的应用</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3.流动资金及贷款利息计算</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流动资金估算方法、建设期利息的计算、运营期借款利息的计算</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第七部分 价值工程</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1.价值工程的基本概念</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价值、功能、价值工程的基本概念，寿命周期成本和功能的概念</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2.价值工程提升的基本途径和对象选择方法</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提高价值的途径，对象选择方法(经验分析法、百分比法、价值指数法、ABC分析法等方法)</w:t>
      </w:r>
    </w:p>
    <w:p>
      <w:pPr>
        <w:spacing w:line="360" w:lineRule="auto"/>
        <w:ind w:left="0" w:firstLine="480" w:firstLineChars="200"/>
        <w:jc w:val="both"/>
        <w:rPr>
          <w:rFonts w:ascii="楷体" w:hAnsi="楷体" w:eastAsia="楷体"/>
          <w:color w:val="000000"/>
          <w:sz w:val="24"/>
          <w:szCs w:val="24"/>
        </w:rPr>
      </w:pPr>
      <w:r>
        <w:rPr>
          <w:rFonts w:ascii="楷体" w:hAnsi="楷体" w:eastAsia="楷体"/>
          <w:color w:val="000000"/>
          <w:sz w:val="24"/>
          <w:szCs w:val="24"/>
        </w:rPr>
        <w:t>3.功能分析与评价</w:t>
      </w:r>
    </w:p>
    <w:p>
      <w:pPr>
        <w:spacing w:line="360" w:lineRule="auto"/>
        <w:ind w:left="0" w:firstLine="480" w:firstLineChars="200"/>
        <w:jc w:val="both"/>
        <w:rPr>
          <w:rFonts w:hint="eastAsia" w:ascii="楷体" w:hAnsi="楷体" w:eastAsia="楷体"/>
          <w:color w:val="000000"/>
          <w:sz w:val="24"/>
          <w:szCs w:val="24"/>
        </w:rPr>
      </w:pPr>
      <w:r>
        <w:rPr>
          <w:rFonts w:hint="eastAsia" w:ascii="楷体" w:hAnsi="楷体" w:eastAsia="楷体"/>
          <w:color w:val="000000"/>
          <w:sz w:val="24"/>
          <w:szCs w:val="24"/>
        </w:rPr>
        <w:t>“</w:t>
      </w:r>
      <w:r>
        <w:rPr>
          <w:rFonts w:ascii="楷体" w:hAnsi="楷体" w:eastAsia="楷体"/>
          <w:color w:val="000000"/>
          <w:sz w:val="24"/>
          <w:szCs w:val="24"/>
        </w:rPr>
        <w:t>01”评分法、直接评分法、“04”评分法、倍比法</w:t>
      </w:r>
    </w:p>
    <w:p>
      <w:pPr>
        <w:spacing w:line="360" w:lineRule="auto"/>
        <w:ind w:left="0"/>
        <w:rPr>
          <w:rFonts w:hint="eastAsia" w:ascii="楷体" w:hAnsi="楷体" w:eastAsia="楷体"/>
          <w:b/>
          <w:color w:val="000000"/>
          <w:sz w:val="24"/>
          <w:szCs w:val="24"/>
        </w:rPr>
      </w:pPr>
    </w:p>
    <w:p>
      <w:pPr>
        <w:spacing w:line="360" w:lineRule="auto"/>
        <w:ind w:left="0"/>
        <w:rPr>
          <w:rFonts w:ascii="楷体" w:hAnsi="楷体" w:eastAsia="楷体"/>
          <w:b/>
          <w:color w:val="000000"/>
          <w:sz w:val="24"/>
          <w:szCs w:val="24"/>
        </w:rPr>
      </w:pPr>
      <w:r>
        <w:rPr>
          <w:rFonts w:hint="eastAsia" w:ascii="楷体" w:hAnsi="楷体" w:eastAsia="楷体"/>
          <w:b/>
          <w:color w:val="000000"/>
          <w:sz w:val="24"/>
          <w:szCs w:val="24"/>
        </w:rPr>
        <w:t>复试科目名称：工程项目管理</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参考书目及考试大纲：</w:t>
      </w:r>
    </w:p>
    <w:p>
      <w:pPr>
        <w:spacing w:line="360" w:lineRule="auto"/>
        <w:ind w:left="0"/>
        <w:rPr>
          <w:rFonts w:hint="eastAsia" w:ascii="楷体" w:hAnsi="楷体" w:eastAsia="楷体"/>
          <w:color w:val="000000"/>
          <w:sz w:val="24"/>
          <w:szCs w:val="24"/>
        </w:rPr>
      </w:pPr>
      <w:r>
        <w:rPr>
          <w:rFonts w:ascii="楷体" w:hAnsi="楷体" w:eastAsia="楷体"/>
          <w:color w:val="000000"/>
          <w:sz w:val="24"/>
          <w:szCs w:val="24"/>
        </w:rPr>
        <w:t>工程项目管理：工程项目管理(第二版) 丁士昭，中国建筑工业出版社</w:t>
      </w:r>
      <w:r>
        <w:rPr>
          <w:rFonts w:hint="eastAsia" w:ascii="楷体" w:hAnsi="楷体" w:eastAsia="楷体"/>
          <w:color w:val="000000"/>
          <w:sz w:val="24"/>
          <w:szCs w:val="24"/>
        </w:rPr>
        <w:t>，</w:t>
      </w:r>
      <w:r>
        <w:rPr>
          <w:rFonts w:ascii="楷体" w:hAnsi="楷体" w:eastAsia="楷体"/>
          <w:color w:val="000000"/>
          <w:sz w:val="24"/>
          <w:szCs w:val="24"/>
        </w:rPr>
        <w:t>2014年06月</w:t>
      </w:r>
      <w:r>
        <w:rPr>
          <w:rFonts w:hint="eastAsia" w:ascii="楷体" w:hAnsi="楷体" w:eastAsia="楷体"/>
          <w:color w:val="000000"/>
          <w:sz w:val="24"/>
          <w:szCs w:val="24"/>
        </w:rPr>
        <w:t>。</w:t>
      </w:r>
    </w:p>
    <w:p>
      <w:pPr>
        <w:spacing w:line="360" w:lineRule="auto"/>
        <w:ind w:left="0"/>
        <w:rPr>
          <w:rFonts w:ascii="楷体" w:hAnsi="楷体" w:eastAsia="楷体"/>
          <w:color w:val="000000"/>
          <w:sz w:val="24"/>
          <w:szCs w:val="24"/>
        </w:rPr>
      </w:pPr>
      <w:r>
        <w:rPr>
          <w:rFonts w:ascii="楷体" w:hAnsi="楷体" w:eastAsia="楷体"/>
          <w:color w:val="000000"/>
          <w:sz w:val="24"/>
          <w:szCs w:val="24"/>
        </w:rPr>
        <w:t>一、试卷满分及考试时间</w:t>
      </w:r>
    </w:p>
    <w:p>
      <w:pPr>
        <w:spacing w:line="360" w:lineRule="auto"/>
        <w:ind w:left="0"/>
        <w:rPr>
          <w:rFonts w:ascii="楷体" w:hAnsi="楷体" w:eastAsia="楷体"/>
          <w:color w:val="000000"/>
          <w:sz w:val="24"/>
          <w:szCs w:val="24"/>
        </w:rPr>
      </w:pPr>
      <w:r>
        <w:rPr>
          <w:rFonts w:ascii="楷体" w:hAnsi="楷体" w:eastAsia="楷体"/>
          <w:color w:val="000000"/>
          <w:sz w:val="24"/>
          <w:szCs w:val="24"/>
        </w:rPr>
        <w:t>本试卷满分为100分，考试时间为120分钟。</w:t>
      </w:r>
    </w:p>
    <w:p>
      <w:pPr>
        <w:spacing w:line="360" w:lineRule="auto"/>
        <w:ind w:left="0"/>
        <w:rPr>
          <w:rFonts w:ascii="楷体" w:hAnsi="楷体" w:eastAsia="楷体"/>
          <w:color w:val="000000"/>
          <w:sz w:val="24"/>
          <w:szCs w:val="24"/>
        </w:rPr>
      </w:pPr>
      <w:r>
        <w:rPr>
          <w:rFonts w:ascii="楷体" w:hAnsi="楷体" w:eastAsia="楷体"/>
          <w:color w:val="000000"/>
          <w:sz w:val="24"/>
          <w:szCs w:val="24"/>
        </w:rPr>
        <w:t>二、答题方式</w:t>
      </w:r>
    </w:p>
    <w:p>
      <w:pPr>
        <w:spacing w:line="360" w:lineRule="auto"/>
        <w:ind w:left="0"/>
        <w:rPr>
          <w:rFonts w:ascii="楷体" w:hAnsi="楷体" w:eastAsia="楷体"/>
          <w:color w:val="000000"/>
          <w:sz w:val="24"/>
          <w:szCs w:val="24"/>
        </w:rPr>
      </w:pPr>
      <w:r>
        <w:rPr>
          <w:rFonts w:ascii="楷体" w:hAnsi="楷体" w:eastAsia="楷体"/>
          <w:color w:val="000000"/>
          <w:sz w:val="24"/>
          <w:szCs w:val="24"/>
        </w:rPr>
        <w:t>答题方式为闭卷，笔试</w:t>
      </w:r>
    </w:p>
    <w:p>
      <w:pPr>
        <w:spacing w:line="360" w:lineRule="auto"/>
        <w:ind w:left="0"/>
        <w:rPr>
          <w:rFonts w:ascii="楷体" w:hAnsi="楷体" w:eastAsia="楷体"/>
          <w:color w:val="000000"/>
          <w:sz w:val="24"/>
          <w:szCs w:val="24"/>
        </w:rPr>
      </w:pPr>
      <w:r>
        <w:rPr>
          <w:rFonts w:ascii="楷体" w:hAnsi="楷体" w:eastAsia="楷体"/>
          <w:color w:val="000000"/>
          <w:sz w:val="24"/>
          <w:szCs w:val="24"/>
        </w:rPr>
        <w:t>三、课程总体要求</w:t>
      </w:r>
    </w:p>
    <w:p>
      <w:pPr>
        <w:spacing w:line="360" w:lineRule="auto"/>
        <w:ind w:left="0" w:firstLine="480" w:firstLineChars="200"/>
        <w:rPr>
          <w:rFonts w:ascii="楷体" w:hAnsi="楷体" w:eastAsia="楷体"/>
          <w:color w:val="000000"/>
          <w:sz w:val="24"/>
          <w:szCs w:val="24"/>
        </w:rPr>
      </w:pPr>
      <w:r>
        <w:rPr>
          <w:rFonts w:hint="eastAsia" w:ascii="楷体" w:hAnsi="楷体" w:eastAsia="楷体"/>
          <w:color w:val="000000"/>
          <w:sz w:val="24"/>
          <w:szCs w:val="24"/>
        </w:rPr>
        <w:t>《</w:t>
      </w:r>
      <w:r>
        <w:rPr>
          <w:rFonts w:ascii="楷体" w:hAnsi="楷体" w:eastAsia="楷体"/>
          <w:color w:val="000000"/>
          <w:sz w:val="24"/>
          <w:szCs w:val="24"/>
        </w:rPr>
        <w:t>工程项目管理</w:t>
      </w:r>
      <w:r>
        <w:rPr>
          <w:rFonts w:hint="eastAsia" w:ascii="楷体" w:hAnsi="楷体" w:eastAsia="楷体"/>
          <w:color w:val="000000"/>
          <w:sz w:val="24"/>
          <w:szCs w:val="24"/>
        </w:rPr>
        <w:t>》</w:t>
      </w:r>
      <w:r>
        <w:rPr>
          <w:rFonts w:ascii="楷体" w:hAnsi="楷体" w:eastAsia="楷体"/>
          <w:color w:val="000000"/>
          <w:sz w:val="24"/>
          <w:szCs w:val="24"/>
        </w:rPr>
        <w:t>着重全面衡量和考核考生掌握项目管理的基本理论和基本原理；着重考查其在项目管理的组织理论，投资控制，进度控制，质量和安全管理等基本理论和原理熟练程度以及其在工程实践中的应用分析能力。本大纲在专家相应考试命题和考生复习应考中提供一个关于内容、重点等方面的参考。</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四</w:t>
      </w:r>
      <w:r>
        <w:rPr>
          <w:rFonts w:ascii="楷体" w:hAnsi="楷体" w:eastAsia="楷体"/>
          <w:color w:val="000000"/>
          <w:sz w:val="24"/>
          <w:szCs w:val="24"/>
        </w:rPr>
        <w:t>、考试</w:t>
      </w:r>
      <w:r>
        <w:rPr>
          <w:rFonts w:hint="eastAsia" w:ascii="楷体" w:hAnsi="楷体" w:eastAsia="楷体"/>
          <w:color w:val="000000"/>
          <w:sz w:val="24"/>
          <w:szCs w:val="24"/>
        </w:rPr>
        <w:t>范围</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第一章 概论</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工程项目的含义和特点，工程项目管理的概念，工程项目管理的类型和任务，项目经理概念， 建设工程监理概述。</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第二章  项目管理的组织理论</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组织论概述，组织结构模式概念与特点，组织分工，工作流程组织，工程项目管理的组织结构。</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第三章 项目策划</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项目策划的基本概念，项目环境调查与分析，项目决策策划，项目实施策划。</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第四章  工程项目目标控制基本原理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项目目标控制方法论，动态控制原理在项目目标控制中的应用，目标控制中的纠偏措施，风险管理在项目目标控制中的应用。</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第五章  工程项目采购管理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工程项目采购，工程项目采购的基本模式，工程项目采购的发展趋势。</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第六章 工程项目投资控制</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工程项目投资控制的含义和目的，设计阶段投资控制的意义和技术方法，工程项目招标采购中的投资控制，工程项目投资规划，成本偏差。</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第七章 流水进度计划、网络计划技术与工程项目进度管理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流水施工的基本概念，进度表的表示方法与绘制，成倍节拍流水计算，网络计划技术概述，常用网络计划技术概念，网络图的类型与特点，网络计划优化，工程项目进度计划，工程项目进度计划的检查与调整，进度偏差分析。工程项目进度控制。</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第八章  工程项目质量管理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工程项目质量管理概述，质量体系概念，PDCA循环工作方法，质量管理的八项原则，工程项目参与各方的质量责任和义务，质量监督，工程项目质量控制。</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第九章  施工项目职业健康安全与环境管理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工程项目安全管理概述，工程项目施工现场安全管理。安全生产管理内容，施工项目危险源辨识与风险评价，施工项目现场管理，文明施工与环境保护的内容和要求。</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第十章  工程项目合同管理和信息管理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工程项目合同变更管理，建筑工程项目索赔与反索赔概念与应用，招投标的概述。工程项目信息管理的含义与目的，工程项目信息管理的过程和内容。</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第十一章  工程发包与物资采购的项目管理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工程发包与物资采购项目管理的任务，工程项目采购规划，工程项目采购资格审查，工程项目采购招标文件，工程项目采购评。</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第十二章  工程施工阶段的项目管理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工程施工阶段项目管理概述，施工质量控制的基本要求，工程价款结算，工程施工平面图设计，工程竣工验收。</w:t>
      </w:r>
    </w:p>
    <w:p>
      <w:pPr>
        <w:spacing w:line="360" w:lineRule="auto"/>
        <w:ind w:left="0" w:firstLine="480" w:firstLineChars="200"/>
        <w:rPr>
          <w:rFonts w:ascii="楷体" w:hAnsi="楷体" w:eastAsia="楷体"/>
          <w:color w:val="000000"/>
          <w:sz w:val="24"/>
          <w:szCs w:val="24"/>
        </w:rPr>
      </w:pPr>
    </w:p>
    <w:p>
      <w:pPr>
        <w:spacing w:line="360" w:lineRule="auto"/>
        <w:ind w:left="0"/>
        <w:rPr>
          <w:rFonts w:ascii="楷体" w:hAnsi="楷体" w:eastAsia="楷体"/>
          <w:b/>
          <w:color w:val="000000"/>
          <w:sz w:val="24"/>
          <w:szCs w:val="24"/>
        </w:rPr>
      </w:pPr>
      <w:r>
        <w:rPr>
          <w:rFonts w:hint="eastAsia" w:ascii="楷体" w:hAnsi="楷体" w:eastAsia="楷体"/>
          <w:b/>
          <w:color w:val="000000"/>
          <w:sz w:val="24"/>
          <w:szCs w:val="24"/>
        </w:rPr>
        <w:t>加试科目名称：1.结构力学  2.</w:t>
      </w:r>
      <w:r>
        <w:rPr>
          <w:rFonts w:ascii="楷体" w:hAnsi="楷体" w:eastAsia="楷体"/>
          <w:b/>
          <w:color w:val="000000"/>
          <w:sz w:val="24"/>
          <w:szCs w:val="24"/>
        </w:rPr>
        <w:t>工程材料</w:t>
      </w:r>
    </w:p>
    <w:p>
      <w:pPr>
        <w:spacing w:line="360" w:lineRule="auto"/>
        <w:ind w:left="0"/>
        <w:rPr>
          <w:rFonts w:ascii="楷体" w:hAnsi="楷体" w:eastAsia="楷体"/>
          <w:color w:val="000000"/>
          <w:sz w:val="24"/>
          <w:szCs w:val="24"/>
        </w:rPr>
      </w:pPr>
      <w:r>
        <w:rPr>
          <w:rFonts w:hint="eastAsia" w:ascii="楷体" w:hAnsi="楷体" w:eastAsia="楷体"/>
          <w:color w:val="000000"/>
          <w:sz w:val="24"/>
          <w:szCs w:val="24"/>
        </w:rPr>
        <w:t>参考书目：</w:t>
      </w:r>
    </w:p>
    <w:p>
      <w:pPr>
        <w:spacing w:line="360" w:lineRule="auto"/>
        <w:ind w:left="0"/>
        <w:rPr>
          <w:rFonts w:ascii="楷体" w:hAnsi="楷体" w:eastAsia="楷体"/>
          <w:color w:val="000000"/>
          <w:sz w:val="24"/>
          <w:szCs w:val="24"/>
        </w:rPr>
      </w:pPr>
      <w:r>
        <w:rPr>
          <w:rFonts w:ascii="楷体" w:hAnsi="楷体" w:eastAsia="楷体"/>
          <w:color w:val="000000"/>
          <w:sz w:val="24"/>
          <w:szCs w:val="24"/>
        </w:rPr>
        <w:t>《结构力学Ⅰ——基本教材》第3版，龙驭球等主编，高等教育出版社，2012年《土木工程材料》（第2版）柯国军主编，北京大学出版社，2012年</w:t>
      </w:r>
      <w:r>
        <w:rPr>
          <w:rFonts w:hint="eastAsia" w:ascii="楷体" w:hAnsi="楷体" w:eastAsia="楷体"/>
          <w:color w:val="000000"/>
          <w:sz w:val="24"/>
          <w:szCs w:val="24"/>
        </w:rPr>
        <w:t>。</w:t>
      </w:r>
    </w:p>
    <w:p>
      <w:pPr>
        <w:spacing w:line="360" w:lineRule="auto"/>
        <w:ind w:left="0"/>
        <w:rPr>
          <w:rFonts w:ascii="楷体" w:hAnsi="楷体" w:eastAsia="楷体"/>
          <w:color w:val="000000"/>
          <w:sz w:val="24"/>
          <w:szCs w:val="24"/>
        </w:rPr>
      </w:pPr>
      <w:r>
        <w:rPr>
          <w:rFonts w:ascii="楷体" w:hAnsi="楷体" w:eastAsia="楷体"/>
          <w:color w:val="000000"/>
          <w:sz w:val="24"/>
          <w:szCs w:val="24"/>
        </w:rPr>
        <w:t>《土木工程材料习题与学习指导》，鄢朝勇主编，北京大学出版社，2013年</w:t>
      </w:r>
      <w:r>
        <w:rPr>
          <w:rFonts w:hint="eastAsia" w:ascii="楷体" w:hAnsi="楷体" w:eastAsia="楷体"/>
          <w:color w:val="000000"/>
          <w:sz w:val="24"/>
          <w:szCs w:val="24"/>
        </w:rPr>
        <w:t>。</w:t>
      </w:r>
    </w:p>
    <w:p>
      <w:pPr>
        <w:spacing w:line="360" w:lineRule="auto"/>
        <w:ind w:left="0"/>
        <w:rPr>
          <w:rFonts w:hint="eastAsia" w:ascii="楷体" w:hAnsi="楷体" w:eastAsia="楷体"/>
          <w:b/>
          <w:color w:val="000000"/>
          <w:sz w:val="24"/>
          <w:szCs w:val="24"/>
        </w:rPr>
      </w:pPr>
      <w:r>
        <w:rPr>
          <w:rFonts w:hint="eastAsia" w:ascii="楷体" w:hAnsi="楷体" w:eastAsia="楷体"/>
          <w:b/>
          <w:color w:val="000000"/>
          <w:sz w:val="24"/>
          <w:szCs w:val="24"/>
        </w:rPr>
        <w:t>1</w:t>
      </w:r>
      <w:r>
        <w:rPr>
          <w:rFonts w:ascii="楷体" w:hAnsi="楷体" w:eastAsia="楷体"/>
          <w:b/>
          <w:color w:val="000000"/>
          <w:sz w:val="24"/>
          <w:szCs w:val="24"/>
        </w:rPr>
        <w:t>.</w:t>
      </w:r>
      <w:r>
        <w:rPr>
          <w:rFonts w:hint="eastAsia" w:ascii="楷体" w:hAnsi="楷体" w:eastAsia="楷体"/>
          <w:b/>
          <w:color w:val="000000"/>
          <w:sz w:val="24"/>
          <w:szCs w:val="24"/>
        </w:rPr>
        <w:t>结构力学</w:t>
      </w:r>
    </w:p>
    <w:p>
      <w:pPr>
        <w:spacing w:line="360" w:lineRule="auto"/>
        <w:ind w:left="0"/>
        <w:rPr>
          <w:rFonts w:ascii="楷体" w:hAnsi="楷体" w:eastAsia="楷体"/>
          <w:color w:val="000000"/>
          <w:sz w:val="24"/>
          <w:szCs w:val="24"/>
        </w:rPr>
      </w:pPr>
      <w:r>
        <w:rPr>
          <w:rFonts w:ascii="楷体" w:hAnsi="楷体" w:eastAsia="楷体"/>
          <w:color w:val="000000"/>
          <w:sz w:val="24"/>
          <w:szCs w:val="24"/>
        </w:rPr>
        <w:t>一、考试目标及要求</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通过笔试，全面衡量考生了解各类结构受力性能的程度；考核考生掌握杆件结构分析计算的基本概念、基本原理和基本方法，具备结构分析与计算的能力。本大纲在专家相应考试命题和考生复习应考中提供一个关于内容、重点等等方面的参考。</w:t>
      </w:r>
    </w:p>
    <w:p>
      <w:pPr>
        <w:spacing w:line="360" w:lineRule="auto"/>
        <w:ind w:left="0"/>
        <w:rPr>
          <w:rFonts w:ascii="楷体" w:hAnsi="楷体" w:eastAsia="楷体"/>
          <w:color w:val="000000"/>
          <w:sz w:val="24"/>
          <w:szCs w:val="24"/>
        </w:rPr>
      </w:pPr>
      <w:r>
        <w:rPr>
          <w:rFonts w:ascii="楷体" w:hAnsi="楷体" w:eastAsia="楷体"/>
          <w:color w:val="000000"/>
          <w:sz w:val="24"/>
          <w:szCs w:val="24"/>
        </w:rPr>
        <w:t>二、考试形式与考卷结构</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考试形式：闭卷，笔试，卷面总分150分，考试时间180分钟</w:t>
      </w:r>
    </w:p>
    <w:p>
      <w:pPr>
        <w:spacing w:line="360" w:lineRule="auto"/>
        <w:ind w:left="0"/>
        <w:rPr>
          <w:rFonts w:ascii="楷体" w:hAnsi="楷体" w:eastAsia="楷体"/>
          <w:color w:val="000000"/>
          <w:sz w:val="24"/>
          <w:szCs w:val="24"/>
        </w:rPr>
      </w:pPr>
      <w:r>
        <w:rPr>
          <w:rFonts w:ascii="楷体" w:hAnsi="楷体" w:eastAsia="楷体"/>
          <w:color w:val="000000"/>
          <w:sz w:val="24"/>
          <w:szCs w:val="24"/>
        </w:rPr>
        <w:t>三、考试范围</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第一章 绪论</w:t>
      </w:r>
      <w:r>
        <w:rPr>
          <w:rFonts w:hint="eastAsia" w:ascii="楷体" w:hAnsi="楷体" w:eastAsia="楷体"/>
          <w:color w:val="000000"/>
          <w:sz w:val="24"/>
          <w:szCs w:val="24"/>
        </w:rPr>
        <w:t>：</w:t>
      </w:r>
      <w:r>
        <w:rPr>
          <w:rFonts w:ascii="楷体" w:hAnsi="楷体" w:eastAsia="楷体"/>
          <w:color w:val="000000"/>
          <w:sz w:val="24"/>
          <w:szCs w:val="24"/>
        </w:rPr>
        <w:t>结构力学的研究对象及任务，结构的计算简图及简化原则，结构的分类和结构的荷载。</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第二章 结构的几何构造分析</w:t>
      </w:r>
      <w:r>
        <w:rPr>
          <w:rFonts w:hint="eastAsia" w:ascii="楷体" w:hAnsi="楷体" w:eastAsia="楷体"/>
          <w:color w:val="000000"/>
          <w:sz w:val="24"/>
          <w:szCs w:val="24"/>
        </w:rPr>
        <w:t>：</w:t>
      </w:r>
      <w:r>
        <w:rPr>
          <w:rFonts w:ascii="楷体" w:hAnsi="楷体" w:eastAsia="楷体"/>
          <w:color w:val="000000"/>
          <w:sz w:val="24"/>
          <w:szCs w:val="24"/>
        </w:rPr>
        <w:t>几何构造分析的基本概念，几何不变体系的基本组成规律和几何构造分析方法，平面杆件体系的自由度计算方法。</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第三章 静定结构的受力分析</w:t>
      </w:r>
      <w:r>
        <w:rPr>
          <w:rFonts w:hint="eastAsia" w:ascii="楷体" w:hAnsi="楷体" w:eastAsia="楷体"/>
          <w:color w:val="000000"/>
          <w:sz w:val="24"/>
          <w:szCs w:val="24"/>
        </w:rPr>
        <w:t>：</w:t>
      </w:r>
      <w:r>
        <w:rPr>
          <w:rFonts w:ascii="楷体" w:hAnsi="楷体" w:eastAsia="楷体"/>
          <w:color w:val="000000"/>
          <w:sz w:val="24"/>
          <w:szCs w:val="24"/>
        </w:rPr>
        <w:t>梁式杆的内力计算、叠加法作弯矩图，多跨静定梁、静定平面刚架、三铰拱、静定桁架、静定组合结构的内力计算和内力图绘制。</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第四章</w:t>
      </w:r>
      <w:r>
        <w:rPr>
          <w:rFonts w:hint="eastAsia" w:ascii="楷体" w:hAnsi="楷体" w:eastAsia="楷体"/>
          <w:color w:val="000000"/>
          <w:sz w:val="24"/>
          <w:szCs w:val="24"/>
        </w:rPr>
        <w:t xml:space="preserve"> </w:t>
      </w:r>
      <w:r>
        <w:rPr>
          <w:rFonts w:ascii="楷体" w:hAnsi="楷体" w:eastAsia="楷体"/>
          <w:color w:val="000000"/>
          <w:sz w:val="24"/>
          <w:szCs w:val="24"/>
        </w:rPr>
        <w:t>影响线</w:t>
      </w:r>
      <w:r>
        <w:rPr>
          <w:rFonts w:hint="eastAsia" w:ascii="楷体" w:hAnsi="楷体" w:eastAsia="楷体"/>
          <w:color w:val="000000"/>
          <w:sz w:val="24"/>
          <w:szCs w:val="24"/>
        </w:rPr>
        <w:t>：</w:t>
      </w:r>
      <w:r>
        <w:rPr>
          <w:rFonts w:ascii="楷体" w:hAnsi="楷体" w:eastAsia="楷体"/>
          <w:color w:val="000000"/>
          <w:sz w:val="24"/>
          <w:szCs w:val="24"/>
        </w:rPr>
        <w:t>移动荷载和影响线的概念，静力法和机动法作静定梁的影响线，影响线的应用。</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第五章</w:t>
      </w:r>
      <w:r>
        <w:rPr>
          <w:rFonts w:hint="eastAsia" w:ascii="楷体" w:hAnsi="楷体" w:eastAsia="楷体"/>
          <w:color w:val="000000"/>
          <w:sz w:val="24"/>
          <w:szCs w:val="24"/>
        </w:rPr>
        <w:t xml:space="preserve"> </w:t>
      </w:r>
      <w:r>
        <w:rPr>
          <w:rFonts w:ascii="楷体" w:hAnsi="楷体" w:eastAsia="楷体"/>
          <w:color w:val="000000"/>
          <w:sz w:val="24"/>
          <w:szCs w:val="24"/>
        </w:rPr>
        <w:t>虚功原理与结构位移计算</w:t>
      </w:r>
      <w:r>
        <w:rPr>
          <w:rFonts w:hint="eastAsia" w:ascii="楷体" w:hAnsi="楷体" w:eastAsia="楷体"/>
          <w:color w:val="000000"/>
          <w:sz w:val="24"/>
          <w:szCs w:val="24"/>
        </w:rPr>
        <w:t>：</w:t>
      </w:r>
      <w:r>
        <w:rPr>
          <w:rFonts w:ascii="楷体" w:hAnsi="楷体" w:eastAsia="楷体"/>
          <w:color w:val="000000"/>
          <w:sz w:val="24"/>
          <w:szCs w:val="24"/>
        </w:rPr>
        <w:t>虚功原理的内容和条件，位移计算的一般公式，用图乘法进行静定结构在荷载作用下的位移计算，线弹性杆件结构的互等定理。</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第六章力法</w:t>
      </w:r>
      <w:r>
        <w:rPr>
          <w:rFonts w:hint="eastAsia" w:ascii="楷体" w:hAnsi="楷体" w:eastAsia="楷体"/>
          <w:color w:val="000000"/>
          <w:sz w:val="24"/>
          <w:szCs w:val="24"/>
        </w:rPr>
        <w:t>：</w:t>
      </w:r>
      <w:r>
        <w:rPr>
          <w:rFonts w:ascii="楷体" w:hAnsi="楷体" w:eastAsia="楷体"/>
          <w:color w:val="000000"/>
          <w:sz w:val="24"/>
          <w:szCs w:val="24"/>
        </w:rPr>
        <w:t>力法的基本原理，用力法计算超静定刚架、排架的内力，力法求解对称结构，超静定结构位移计算。</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第七章 位移法</w:t>
      </w:r>
      <w:r>
        <w:rPr>
          <w:rFonts w:hint="eastAsia" w:ascii="楷体" w:hAnsi="楷体" w:eastAsia="楷体"/>
          <w:color w:val="000000"/>
          <w:sz w:val="24"/>
          <w:szCs w:val="24"/>
        </w:rPr>
        <w:t>：</w:t>
      </w:r>
      <w:r>
        <w:rPr>
          <w:rFonts w:ascii="楷体" w:hAnsi="楷体" w:eastAsia="楷体"/>
          <w:color w:val="000000"/>
          <w:sz w:val="24"/>
          <w:szCs w:val="24"/>
        </w:rPr>
        <w:t xml:space="preserve">位移法的基本概念，用位移法求解超静定梁和刚架，位移法解对称结构。 </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第八章 渐近法</w:t>
      </w:r>
      <w:r>
        <w:rPr>
          <w:rFonts w:hint="eastAsia" w:ascii="楷体" w:hAnsi="楷体" w:eastAsia="楷体"/>
          <w:color w:val="000000"/>
          <w:sz w:val="24"/>
          <w:szCs w:val="24"/>
        </w:rPr>
        <w:t>：</w:t>
      </w:r>
      <w:r>
        <w:rPr>
          <w:rFonts w:ascii="楷体" w:hAnsi="楷体" w:eastAsia="楷体"/>
          <w:color w:val="000000"/>
          <w:sz w:val="24"/>
          <w:szCs w:val="24"/>
        </w:rPr>
        <w:t xml:space="preserve">力矩分配法的基本概念，用力矩分配法计算连续梁和无侧移刚架。无剪力分配法的条件和应用。                        </w:t>
      </w:r>
    </w:p>
    <w:p>
      <w:pPr>
        <w:spacing w:line="360" w:lineRule="auto"/>
        <w:ind w:left="0" w:firstLine="480" w:firstLineChars="200"/>
        <w:rPr>
          <w:rFonts w:hint="eastAsia" w:ascii="楷体" w:hAnsi="楷体" w:eastAsia="楷体"/>
          <w:color w:val="000000"/>
          <w:sz w:val="24"/>
          <w:szCs w:val="24"/>
        </w:rPr>
      </w:pPr>
      <w:r>
        <w:rPr>
          <w:rFonts w:ascii="楷体" w:hAnsi="楷体" w:eastAsia="楷体"/>
          <w:color w:val="000000"/>
          <w:sz w:val="24"/>
          <w:szCs w:val="24"/>
        </w:rPr>
        <w:t>第九章 矩阵位移法</w:t>
      </w:r>
      <w:r>
        <w:rPr>
          <w:rFonts w:hint="eastAsia" w:ascii="楷体" w:hAnsi="楷体" w:eastAsia="楷体"/>
          <w:color w:val="000000"/>
          <w:sz w:val="24"/>
          <w:szCs w:val="24"/>
        </w:rPr>
        <w:t>：</w:t>
      </w:r>
      <w:r>
        <w:rPr>
          <w:rFonts w:ascii="楷体" w:hAnsi="楷体" w:eastAsia="楷体"/>
          <w:color w:val="000000"/>
          <w:sz w:val="24"/>
          <w:szCs w:val="24"/>
        </w:rPr>
        <w:t>矩阵位移法的基本概念，单元刚度矩阵、整体刚度矩阵，梁、刚架的单元分析和整体分析，等效结点荷载的概念。</w:t>
      </w:r>
    </w:p>
    <w:p>
      <w:pPr>
        <w:spacing w:line="360" w:lineRule="auto"/>
        <w:ind w:left="0"/>
        <w:rPr>
          <w:rFonts w:ascii="楷体" w:hAnsi="楷体" w:eastAsia="楷体"/>
          <w:color w:val="000000"/>
          <w:sz w:val="24"/>
          <w:szCs w:val="24"/>
        </w:rPr>
      </w:pPr>
    </w:p>
    <w:p>
      <w:pPr>
        <w:spacing w:line="360" w:lineRule="auto"/>
        <w:ind w:left="0"/>
        <w:rPr>
          <w:rFonts w:ascii="楷体" w:hAnsi="楷体" w:eastAsia="楷体"/>
          <w:b/>
          <w:color w:val="000000"/>
          <w:sz w:val="24"/>
          <w:szCs w:val="24"/>
        </w:rPr>
      </w:pPr>
      <w:r>
        <w:rPr>
          <w:rFonts w:hint="eastAsia" w:ascii="楷体" w:hAnsi="楷体" w:eastAsia="楷体"/>
          <w:b/>
          <w:color w:val="000000"/>
          <w:sz w:val="24"/>
          <w:szCs w:val="24"/>
        </w:rPr>
        <w:t>2.</w:t>
      </w:r>
      <w:r>
        <w:rPr>
          <w:rFonts w:ascii="楷体" w:hAnsi="楷体" w:eastAsia="楷体"/>
          <w:b/>
          <w:color w:val="000000"/>
          <w:sz w:val="24"/>
          <w:szCs w:val="24"/>
        </w:rPr>
        <w:t>工程材料</w:t>
      </w:r>
    </w:p>
    <w:p>
      <w:pPr>
        <w:spacing w:line="360" w:lineRule="auto"/>
        <w:ind w:left="0"/>
        <w:rPr>
          <w:rFonts w:ascii="楷体" w:hAnsi="楷体" w:eastAsia="楷体"/>
          <w:color w:val="000000"/>
          <w:sz w:val="24"/>
          <w:szCs w:val="24"/>
        </w:rPr>
      </w:pPr>
      <w:r>
        <w:rPr>
          <w:rFonts w:ascii="楷体" w:hAnsi="楷体" w:eastAsia="楷体"/>
          <w:color w:val="000000"/>
          <w:sz w:val="24"/>
          <w:szCs w:val="24"/>
        </w:rPr>
        <w:t>一、考试目标及要求</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通过笔试，全面衡量和考核考生掌握土木工程材料的基本理论、基本知识，主要材料的品种、性质与应用方法和特点的情况。本大纲在专家相应考试命题和考生复习应考中提供一个关于内容、重点等等方面的参考。</w:t>
      </w:r>
    </w:p>
    <w:p>
      <w:pPr>
        <w:spacing w:line="360" w:lineRule="auto"/>
        <w:ind w:left="0"/>
        <w:rPr>
          <w:rFonts w:ascii="楷体" w:hAnsi="楷体" w:eastAsia="楷体"/>
          <w:color w:val="000000"/>
          <w:sz w:val="24"/>
          <w:szCs w:val="24"/>
        </w:rPr>
      </w:pPr>
      <w:r>
        <w:rPr>
          <w:rFonts w:ascii="楷体" w:hAnsi="楷体" w:eastAsia="楷体"/>
          <w:color w:val="000000"/>
          <w:sz w:val="24"/>
          <w:szCs w:val="24"/>
        </w:rPr>
        <w:t>二、考试形式与考卷结构</w:t>
      </w:r>
    </w:p>
    <w:p>
      <w:pPr>
        <w:spacing w:line="360" w:lineRule="auto"/>
        <w:ind w:left="0"/>
        <w:rPr>
          <w:rFonts w:ascii="楷体" w:hAnsi="楷体" w:eastAsia="楷体"/>
          <w:color w:val="000000"/>
          <w:sz w:val="24"/>
          <w:szCs w:val="24"/>
        </w:rPr>
      </w:pPr>
      <w:r>
        <w:rPr>
          <w:rFonts w:ascii="楷体" w:hAnsi="楷体" w:eastAsia="楷体"/>
          <w:color w:val="000000"/>
          <w:sz w:val="24"/>
          <w:szCs w:val="24"/>
        </w:rPr>
        <w:t>考试形式：闭卷，笔试，卷面总分100分，考试时间120分钟</w:t>
      </w:r>
    </w:p>
    <w:p>
      <w:pPr>
        <w:spacing w:line="360" w:lineRule="auto"/>
        <w:ind w:left="0"/>
        <w:rPr>
          <w:rFonts w:ascii="楷体" w:hAnsi="楷体" w:eastAsia="楷体"/>
          <w:color w:val="000000"/>
          <w:sz w:val="24"/>
          <w:szCs w:val="24"/>
        </w:rPr>
      </w:pPr>
      <w:r>
        <w:rPr>
          <w:rFonts w:ascii="楷体" w:hAnsi="楷体" w:eastAsia="楷体"/>
          <w:color w:val="000000"/>
          <w:sz w:val="24"/>
          <w:szCs w:val="24"/>
        </w:rPr>
        <w:t>三、考试范围</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第一章 绪论：材料的分类，材料发展简史和发展方向，材料在国民经济中的作用和地位，材料的发展历史、现状和趋势，国家在土木工程材料生产和使用方面的政策。</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第二章 土木工程材料的基本性质：材料的组成及结构构造，物理性质、力学性质、耐久性等，材料的组成、结构、构造与性质。</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第三章 天然石材：天然石材的特点与性质，天然石材的主要品种，饰面石材主要品种的性质和使用。</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第四章 气硬性胶凝材料：胶凝材料的分类，无机胶凝材料的主要品种的性质和使用，包括石膏、石灰等。</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第五章 水泥：硅酸盐水泥的凝结硬化机理，主要水泥品种的性质和应用，包括硅酸盐水泥、掺混合材料的硅酸盐水泥、特种水泥等，水泥性质检测方法。</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第六章 混凝土：混凝土的分类，混凝土的组成及技术性质，混凝土的应用，其他品种混凝土基本知识，混凝土配合比设计方法，混凝土性能测定方法。</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第七章 建筑砂浆：砂浆的分类、组成及技术性质，砌筑砂浆、抹面砂浆的应用，砂浆性能测定方法。</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第八章 金属材料：钢的冶炼与分类，钢材的力学性能与工艺性能，建筑钢材的锈蚀与防护，钢材的品种、标准与选用。</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第九章 墙体材料：常用墙体材料的品种与应用，包括烧结砖、蒸压蒸养砖、砌块等，我国墙体材料的产业政策。</w:t>
      </w:r>
    </w:p>
    <w:p>
      <w:pPr>
        <w:spacing w:line="360" w:lineRule="auto"/>
        <w:ind w:left="0" w:firstLine="480" w:firstLineChars="200"/>
        <w:rPr>
          <w:rFonts w:ascii="楷体" w:hAnsi="楷体" w:eastAsia="楷体"/>
          <w:color w:val="000000"/>
          <w:sz w:val="24"/>
          <w:szCs w:val="24"/>
        </w:rPr>
      </w:pPr>
      <w:r>
        <w:rPr>
          <w:rFonts w:ascii="楷体" w:hAnsi="楷体" w:eastAsia="楷体"/>
          <w:color w:val="000000"/>
          <w:sz w:val="24"/>
          <w:szCs w:val="24"/>
        </w:rPr>
        <w:t>第十章 沥青及防水材料：沥青材料的组成、性质、技术标准，防水材料的品种与应用。</w:t>
      </w:r>
    </w:p>
    <w:p/>
    <w:sectPr>
      <w:footerReference r:id="rId4" w:type="first"/>
      <w:footerReference r:id="rId3" w:type="default"/>
      <w:pgSz w:w="11906" w:h="16838"/>
      <w:pgMar w:top="1247" w:right="1587" w:bottom="1134" w:left="1587" w:header="851" w:footer="1418"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right="360" w:firstLine="360"/>
      <w:rPr>
        <w:rFonts w:hAnsi="Times New Roman" w:eastAsia="宋体"/>
        <w:sz w:val="34"/>
      </w:rPr>
    </w:pPr>
    <w:r>
      <w:rPr>
        <w:rFonts w:hAnsi="Times New Roman" w:eastAsia="宋体"/>
        <w:sz w:val="18"/>
      </w:rPr>
      <mc:AlternateContent>
        <mc:Choice Requires="wps">
          <w:drawing>
            <wp:anchor distT="0" distB="0" distL="114300" distR="114300" simplePos="0" relativeHeight="251659264" behindDoc="0" locked="0" layoutInCell="1" allowOverlap="1">
              <wp:simplePos x="0" y="0"/>
              <wp:positionH relativeFrom="column">
                <wp:posOffset>2416810</wp:posOffset>
              </wp:positionH>
              <wp:positionV relativeFrom="paragraph">
                <wp:posOffset>0</wp:posOffset>
              </wp:positionV>
              <wp:extent cx="711200" cy="230505"/>
              <wp:effectExtent l="0" t="0" r="0" b="0"/>
              <wp:wrapNone/>
              <wp:docPr id="1" name="矩形 1"/>
              <wp:cNvGraphicFramePr/>
              <a:graphic xmlns:a="http://schemas.openxmlformats.org/drawingml/2006/main">
                <a:graphicData uri="http://schemas.microsoft.com/office/word/2010/wordprocessingShape">
                  <wps:wsp>
                    <wps:cNvSpPr/>
                    <wps:spPr>
                      <a:xfrm>
                        <a:off x="0" y="0"/>
                        <a:ext cx="711200" cy="230505"/>
                      </a:xfrm>
                      <a:prstGeom prst="rect">
                        <a:avLst/>
                      </a:prstGeom>
                      <a:noFill/>
                      <a:ln>
                        <a:noFill/>
                      </a:ln>
                      <a:effectLst/>
                    </wps:spPr>
                    <wps:txbx>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rPr>
                              <w:rFonts w:hint="eastAsia" w:ascii="仿宋_GB2312" w:hAnsi="Times New Roman" w:eastAsia="仿宋_GB2312"/>
                              <w:sz w:val="28"/>
                            </w:rPr>
                            <w:fldChar w:fldCharType="begin"/>
                          </w:r>
                          <w:r>
                            <w:instrText xml:space="preserve">PAGE</w:instrText>
                          </w:r>
                          <w:r>
                            <w:rPr>
                              <w:rFonts w:hint="eastAsia" w:ascii="仿宋_GB2312" w:hAnsi="Times New Roman" w:eastAsia="仿宋_GB2312"/>
                              <w:sz w:val="28"/>
                            </w:rPr>
                            <w:fldChar w:fldCharType="separate"/>
                          </w:r>
                          <w:r>
                            <w:t>9</w:t>
                          </w:r>
                          <w:r>
                            <w:rPr>
                              <w:rFonts w:hint="eastAsia" w:ascii="仿宋_GB2312" w:hAnsi="Times New Roman" w:eastAsia="仿宋_GB2312"/>
                              <w:sz w:val="28"/>
                            </w:rPr>
                            <w:fldChar w:fldCharType="end"/>
                          </w:r>
                          <w:r>
                            <w:rPr>
                              <w:rFonts w:ascii="仿宋_GB2312" w:hAnsi="Times New Roman" w:eastAsia="仿宋_GB2312"/>
                              <w:sz w:val="28"/>
                            </w:rPr>
                            <w:t xml:space="preserve"> — </w:t>
                          </w:r>
                        </w:p>
                      </w:txbxContent>
                    </wps:txbx>
                    <wps:bodyPr wrap="none" lIns="0" tIns="0" rIns="0" bIns="0" upright="1">
                      <a:spAutoFit/>
                    </wps:bodyPr>
                  </wps:wsp>
                </a:graphicData>
              </a:graphic>
            </wp:anchor>
          </w:drawing>
        </mc:Choice>
        <mc:Fallback>
          <w:pict>
            <v:rect id="_x0000_s1026" o:spid="_x0000_s1026" o:spt="1" style="position:absolute;left:0pt;margin-left:190.3pt;margin-top:0pt;height:18.15pt;width:56pt;mso-wrap-style:none;z-index:251659264;mso-width-relative:page;mso-height-relative:page;" filled="f" stroked="f" coordsize="21600,21600" o:gfxdata="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HHJCP1AAAAAcBAAAPAAAAAAAAAAEAIAAAACIAAABkcnMvZG93bnJl&#10;di54bWxQSwECFAAUAAAACACHTuJAWkGhucgBAACYAwAADgAAAAAAAAABACAAAAAjAQAAZHJzL2Uy&#10;b0RvYy54bWxQSwUGAAAAAAYABgBZAQAAXQUAAAAA&#10;">
              <v:fill on="f" focussize="0,0"/>
              <v:stroke on="f"/>
              <v:imagedata o:title=""/>
              <o:lock v:ext="edit" aspectratio="f"/>
              <v:textbox inset="0mm,0mm,0mm,0mm" style="mso-fit-shape-to-text:t;">
                <w:txbxContent>
                  <w:p>
                    <w:pPr>
                      <w:tabs>
                        <w:tab w:val="center" w:pos="4153"/>
                        <w:tab w:val="right" w:pos="8306"/>
                      </w:tabs>
                      <w:snapToGrid w:val="0"/>
                      <w:ind w:left="0"/>
                      <w:rPr>
                        <w:rFonts w:ascii="仿宋_GB2312" w:hAnsi="Times New Roman" w:eastAsia="仿宋_GB2312"/>
                        <w:sz w:val="28"/>
                      </w:rPr>
                    </w:pPr>
                    <w:r>
                      <w:rPr>
                        <w:rFonts w:ascii="仿宋_GB2312" w:hAnsi="Times New Roman" w:eastAsia="仿宋_GB2312"/>
                        <w:sz w:val="28"/>
                      </w:rPr>
                      <w:t xml:space="preserve">— </w:t>
                    </w:r>
                    <w:r>
                      <w:rPr>
                        <w:rFonts w:hint="eastAsia" w:ascii="仿宋_GB2312" w:hAnsi="Times New Roman" w:eastAsia="仿宋_GB2312"/>
                        <w:sz w:val="28"/>
                      </w:rPr>
                      <w:fldChar w:fldCharType="begin"/>
                    </w:r>
                    <w:r>
                      <w:instrText xml:space="preserve">PAGE</w:instrText>
                    </w:r>
                    <w:r>
                      <w:rPr>
                        <w:rFonts w:hint="eastAsia" w:ascii="仿宋_GB2312" w:hAnsi="Times New Roman" w:eastAsia="仿宋_GB2312"/>
                        <w:sz w:val="28"/>
                      </w:rPr>
                      <w:fldChar w:fldCharType="separate"/>
                    </w:r>
                    <w:r>
                      <w:t>9</w:t>
                    </w:r>
                    <w:r>
                      <w:rPr>
                        <w:rFonts w:hint="eastAsia" w:ascii="仿宋_GB2312" w:hAnsi="Times New Roman" w:eastAsia="仿宋_GB2312"/>
                        <w:sz w:val="28"/>
                      </w:rPr>
                      <w:fldChar w:fldCharType="end"/>
                    </w:r>
                    <w:r>
                      <w:rPr>
                        <w:rFonts w:ascii="仿宋_GB2312" w:hAnsi="Times New Roman" w:eastAsia="仿宋_GB2312"/>
                        <w:sz w:val="28"/>
                      </w:rPr>
                      <w:t xml:space="preserve"> —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rPr>
        <w:rFonts w:hAnsi="Times New Roman" w:eastAsia="宋体"/>
        <w:sz w:val="18"/>
      </w:rPr>
    </w:pPr>
  </w:p>
  <w:p>
    <w:pPr>
      <w:tabs>
        <w:tab w:val="center" w:pos="4153"/>
        <w:tab w:val="right" w:pos="8306"/>
      </w:tabs>
      <w:snapToGrid w:val="0"/>
      <w:ind w:left="0"/>
      <w:rPr>
        <w:rFonts w:hAnsi="Times New Roman" w:eastAsia="宋体"/>
        <w:sz w:val="34"/>
      </w:rPr>
    </w:pPr>
    <w:r>
      <w:rPr>
        <w:rFonts w:hAnsi="Times New Roman" w:eastAsia="宋体"/>
        <w:sz w:val="18"/>
      </w:rPr>
      <mc:AlternateContent>
        <mc:Choice Requires="wps">
          <w:drawing>
            <wp:anchor distT="0" distB="0" distL="114300" distR="114300" simplePos="0" relativeHeight="251660288" behindDoc="0" locked="0" layoutInCell="1" allowOverlap="1">
              <wp:simplePos x="0" y="0"/>
              <wp:positionH relativeFrom="column">
                <wp:posOffset>2743835</wp:posOffset>
              </wp:positionH>
              <wp:positionV relativeFrom="paragraph">
                <wp:posOffset>0</wp:posOffset>
              </wp:positionV>
              <wp:extent cx="57150" cy="147955"/>
              <wp:effectExtent l="0" t="0" r="0" b="0"/>
              <wp:wrapNone/>
              <wp:docPr id="2" name="矩形 2"/>
              <wp:cNvGraphicFramePr/>
              <a:graphic xmlns:a="http://schemas.openxmlformats.org/drawingml/2006/main">
                <a:graphicData uri="http://schemas.microsoft.com/office/word/2010/wordprocessingShape">
                  <wps:wsp>
                    <wps:cNvSpPr/>
                    <wps:spPr>
                      <a:xfrm>
                        <a:off x="0" y="0"/>
                        <a:ext cx="57150" cy="147955"/>
                      </a:xfrm>
                      <a:prstGeom prst="rect">
                        <a:avLst/>
                      </a:prstGeom>
                      <a:noFill/>
                      <a:ln>
                        <a:noFill/>
                      </a:ln>
                      <a:effectLst/>
                    </wps:spPr>
                    <wps:txbx>
                      <w:txbxContent>
                        <w:p>
                          <w:pPr>
                            <w:snapToGrid w:val="0"/>
                            <w:ind w:left="0"/>
                            <w:rPr>
                              <w:rFonts w:hAnsi="Times New Roman" w:eastAsia="宋体"/>
                              <w:sz w:val="18"/>
                            </w:rPr>
                          </w:pPr>
                          <w:r>
                            <w:rPr>
                              <w:rFonts w:hint="eastAsia" w:hAnsi="Times New Roman" w:eastAsia="宋体"/>
                              <w:sz w:val="18"/>
                            </w:rPr>
                            <w:fldChar w:fldCharType="begin"/>
                          </w:r>
                          <w:r>
                            <w:instrText xml:space="preserve">PAGE</w:instrText>
                          </w:r>
                          <w:r>
                            <w:rPr>
                              <w:rFonts w:hint="eastAsia" w:hAnsi="Times New Roman" w:eastAsia="宋体"/>
                              <w:sz w:val="18"/>
                            </w:rPr>
                            <w:fldChar w:fldCharType="separate"/>
                          </w:r>
                          <w:r>
                            <w:t>2</w:t>
                          </w:r>
                          <w:r>
                            <w:rPr>
                              <w:rFonts w:hint="eastAsia" w:hAnsi="Times New Roman" w:eastAsia="宋体"/>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left:216.05pt;margin-top:0pt;height:11.65pt;width:4.5pt;mso-wrap-style:none;z-index:251660288;mso-width-relative:page;mso-height-relative:page;" filled="f" stroked="f" coordsize="21600,21600" o:gfxdata="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9XXwbTAAAABwEAAA8AAAAAAAAAAQAgAAAAIgAAAGRycy9kb3ducmV2&#10;LnhtbFBLAQIUABQAAAAIAIdO4kCIEj04yAEAAJcDAAAOAAAAAAAAAAEAIAAAACIBAABkcnMvZTJv&#10;RG9jLnhtbFBLBQYAAAAABgAGAFkBAABcBQAAAAA=&#10;">
              <v:fill on="f" focussize="0,0"/>
              <v:stroke on="f"/>
              <v:imagedata o:title=""/>
              <o:lock v:ext="edit" aspectratio="f"/>
              <v:textbox inset="0mm,0mm,0mm,0mm" style="mso-fit-shape-to-text:t;">
                <w:txbxContent>
                  <w:p>
                    <w:pPr>
                      <w:snapToGrid w:val="0"/>
                      <w:ind w:left="0"/>
                      <w:rPr>
                        <w:rFonts w:hAnsi="Times New Roman" w:eastAsia="宋体"/>
                        <w:sz w:val="18"/>
                      </w:rPr>
                    </w:pPr>
                    <w:r>
                      <w:rPr>
                        <w:rFonts w:hint="eastAsia" w:hAnsi="Times New Roman" w:eastAsia="宋体"/>
                        <w:sz w:val="18"/>
                      </w:rPr>
                      <w:fldChar w:fldCharType="begin"/>
                    </w:r>
                    <w:r>
                      <w:instrText xml:space="preserve">PAGE</w:instrText>
                    </w:r>
                    <w:r>
                      <w:rPr>
                        <w:rFonts w:hint="eastAsia" w:hAnsi="Times New Roman" w:eastAsia="宋体"/>
                        <w:sz w:val="18"/>
                      </w:rPr>
                      <w:fldChar w:fldCharType="separate"/>
                    </w:r>
                    <w:r>
                      <w:t>2</w:t>
                    </w:r>
                    <w:r>
                      <w:rPr>
                        <w:rFonts w:hint="eastAsia" w:hAnsi="Times New Roman" w:eastAsia="宋体"/>
                        <w:sz w:val="1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F962D8"/>
    <w:rsid w:val="000F3B76"/>
    <w:rsid w:val="00123D46"/>
    <w:rsid w:val="001246D9"/>
    <w:rsid w:val="001902B8"/>
    <w:rsid w:val="001A1A8C"/>
    <w:rsid w:val="001F5159"/>
    <w:rsid w:val="002B22CA"/>
    <w:rsid w:val="002D10E7"/>
    <w:rsid w:val="003570B9"/>
    <w:rsid w:val="003E73A4"/>
    <w:rsid w:val="00443A21"/>
    <w:rsid w:val="004E5405"/>
    <w:rsid w:val="00596125"/>
    <w:rsid w:val="00657E14"/>
    <w:rsid w:val="007764F6"/>
    <w:rsid w:val="00954E63"/>
    <w:rsid w:val="009822EE"/>
    <w:rsid w:val="00997722"/>
    <w:rsid w:val="00A15185"/>
    <w:rsid w:val="00BC2F6B"/>
    <w:rsid w:val="00BF061E"/>
    <w:rsid w:val="00BF0BBF"/>
    <w:rsid w:val="00BF4205"/>
    <w:rsid w:val="00C50751"/>
    <w:rsid w:val="00CF67E5"/>
    <w:rsid w:val="00D935E5"/>
    <w:rsid w:val="00DD2708"/>
    <w:rsid w:val="00E312DD"/>
    <w:rsid w:val="00E94B7E"/>
    <w:rsid w:val="00F064A0"/>
    <w:rsid w:val="00F2283A"/>
    <w:rsid w:val="00FB2419"/>
    <w:rsid w:val="00FF14C7"/>
    <w:rsid w:val="031228F4"/>
    <w:rsid w:val="05F1444F"/>
    <w:rsid w:val="0CE40E36"/>
    <w:rsid w:val="0E523E04"/>
    <w:rsid w:val="116831DF"/>
    <w:rsid w:val="14DD58C5"/>
    <w:rsid w:val="180E1BDB"/>
    <w:rsid w:val="1833672B"/>
    <w:rsid w:val="18A65C71"/>
    <w:rsid w:val="1AF962D8"/>
    <w:rsid w:val="354A09CF"/>
    <w:rsid w:val="36551ABA"/>
    <w:rsid w:val="385C2FB0"/>
    <w:rsid w:val="40910C29"/>
    <w:rsid w:val="427C64C1"/>
    <w:rsid w:val="4D127BBF"/>
    <w:rsid w:val="513B2504"/>
    <w:rsid w:val="57F37182"/>
    <w:rsid w:val="58961B8D"/>
    <w:rsid w:val="683A4ABB"/>
    <w:rsid w:val="68FD39F7"/>
    <w:rsid w:val="71800735"/>
    <w:rsid w:val="727131C7"/>
    <w:rsid w:val="77837497"/>
    <w:rsid w:val="7A684C13"/>
    <w:rsid w:val="7BF922A2"/>
    <w:rsid w:val="7D6E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ind w:left="5632"/>
    </w:pPr>
    <w:rPr>
      <w:rFonts w:ascii="宋体" w:hAnsi="宋体" w:eastAsia="Times New Roman" w:cstheme="minorBidi"/>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宋体" w:hAnsi="宋体" w:eastAsia="Times New Roman" w:cstheme="minorBidi"/>
      <w:sz w:val="18"/>
      <w:szCs w:val="18"/>
    </w:rPr>
  </w:style>
  <w:style w:type="character" w:customStyle="1" w:styleId="7">
    <w:name w:val="页脚 字符"/>
    <w:basedOn w:val="5"/>
    <w:link w:val="2"/>
    <w:qFormat/>
    <w:uiPriority w:val="0"/>
    <w:rPr>
      <w:rFonts w:ascii="宋体" w:hAnsi="宋体" w:eastAsia="Times New Roman"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980</Words>
  <Characters>5587</Characters>
  <Lines>46</Lines>
  <Paragraphs>13</Paragraphs>
  <TotalTime>4</TotalTime>
  <ScaleCrop>false</ScaleCrop>
  <LinksUpToDate>false</LinksUpToDate>
  <CharactersWithSpaces>6554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2021-06-09T11:53:00Z</dcterms:created>
  <dc:creator>Administrator</dc:creator>
  <cp:lastModifiedBy>wulang</cp:lastModifiedBy>
  <cp:lastPrinted>2021-05-31T07:36:00Z</cp:lastPrinted>
  <dcterms:modified xsi:type="dcterms:W3CDTF">2021-09-14T08:06:24Z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A56A8B54D63149CFB3F558E96A2F1987</vt:lpwstr>
  </property>
</Properties>
</file>