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jc w:val="center"/>
        <w:rPr>
          <w:rFonts w:eastAsia="黑体"/>
          <w:spacing w:val="30"/>
          <w:kern w:val="0"/>
          <w:sz w:val="32"/>
          <w:szCs w:val="32"/>
        </w:rPr>
      </w:pPr>
      <w:bookmarkStart w:id="0" w:name="_GoBack"/>
      <w:bookmarkEnd w:id="0"/>
      <w:r>
        <w:rPr>
          <w:rFonts w:hint="eastAsia" w:eastAsia="黑体"/>
          <w:spacing w:val="30"/>
          <w:kern w:val="0"/>
          <w:sz w:val="32"/>
          <w:szCs w:val="32"/>
          <w:lang w:val="en-US" w:eastAsia="zh-CN"/>
        </w:rPr>
        <w:t>846</w:t>
      </w:r>
      <w:r>
        <w:rPr>
          <w:rFonts w:hint="eastAsia" w:eastAsia="黑体"/>
          <w:spacing w:val="30"/>
          <w:kern w:val="0"/>
          <w:sz w:val="32"/>
          <w:szCs w:val="32"/>
        </w:rPr>
        <w:t>《经济学基础》</w:t>
      </w:r>
      <w:r>
        <w:rPr>
          <w:rFonts w:hint="eastAsia" w:ascii="黑体" w:hAnsi="黑体" w:eastAsia="黑体"/>
          <w:b w:val="0"/>
          <w:kern w:val="36"/>
          <w:sz w:val="32"/>
          <w:szCs w:val="32"/>
          <w:lang w:eastAsia="zh-CN"/>
        </w:rPr>
        <w:t>自命题考试大纲</w:t>
      </w:r>
    </w:p>
    <w:tbl>
      <w:tblPr>
        <w:tblStyle w:val="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
      <w:tblGrid>
        <w:gridCol w:w="1260"/>
        <w:gridCol w:w="142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Ex>
        <w:trPr>
          <w:trHeight w:val="585" w:hRule="atLeast"/>
          <w:jc w:val="center"/>
        </w:trPr>
        <w:tc>
          <w:tcPr>
            <w:tcW w:w="1260" w:type="dxa"/>
            <w:tcMar>
              <w:top w:w="0" w:type="dxa"/>
              <w:left w:w="108" w:type="dxa"/>
              <w:bottom w:w="0" w:type="dxa"/>
              <w:right w:w="108" w:type="dxa"/>
            </w:tcMar>
            <w:vAlign w:val="center"/>
          </w:tcPr>
          <w:p>
            <w:pPr>
              <w:widowControl/>
              <w:spacing w:line="460" w:lineRule="atLeast"/>
              <w:jc w:val="center"/>
              <w:rPr>
                <w:kern w:val="0"/>
                <w:sz w:val="24"/>
              </w:rPr>
            </w:pPr>
            <w:r>
              <w:rPr>
                <w:rFonts w:hint="eastAsia" w:hAnsi="宋体"/>
                <w:b/>
                <w:bCs/>
                <w:kern w:val="0"/>
                <w:sz w:val="24"/>
              </w:rPr>
              <w:t>科目代码</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科目名称</w:t>
            </w:r>
          </w:p>
        </w:tc>
        <w:tc>
          <w:tcPr>
            <w:tcW w:w="5953"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hAnsi="宋体"/>
                <w:b/>
                <w:bCs/>
                <w:kern w:val="0"/>
                <w:sz w:val="24"/>
              </w:rPr>
              <w:t>考</w:t>
            </w:r>
            <w:r>
              <w:rPr>
                <w:b/>
                <w:bCs/>
                <w:kern w:val="0"/>
                <w:sz w:val="24"/>
              </w:rPr>
              <w:t>   </w:t>
            </w:r>
            <w:r>
              <w:rPr>
                <w:rFonts w:hint="eastAsia" w:hAnsi="宋体"/>
                <w:b/>
                <w:bCs/>
                <w:kern w:val="0"/>
                <w:sz w:val="24"/>
              </w:rPr>
              <w:t>试</w:t>
            </w:r>
            <w:r>
              <w:rPr>
                <w:b/>
                <w:bCs/>
                <w:kern w:val="0"/>
                <w:sz w:val="24"/>
              </w:rPr>
              <w:t>   </w:t>
            </w:r>
            <w:r>
              <w:rPr>
                <w:rFonts w:hint="eastAsia" w:hAnsi="宋体"/>
                <w:b/>
                <w:bCs/>
                <w:kern w:val="0"/>
                <w:sz w:val="24"/>
              </w:rPr>
              <w:t>大</w:t>
            </w:r>
            <w:r>
              <w:rPr>
                <w:b/>
                <w:bCs/>
                <w:kern w:val="0"/>
                <w:sz w:val="24"/>
              </w:rPr>
              <w:t>   </w:t>
            </w:r>
            <w:r>
              <w:rPr>
                <w:rFonts w:hint="eastAsia" w:hAnsi="宋体"/>
                <w:b/>
                <w:bCs/>
                <w:kern w:val="0"/>
                <w:sz w:val="24"/>
              </w:rPr>
              <w:t>纲</w:t>
            </w:r>
          </w:p>
          <w:p>
            <w:pPr>
              <w:widowControl/>
              <w:wordWrap w:val="0"/>
              <w:spacing w:line="460" w:lineRule="atLeast"/>
              <w:jc w:val="center"/>
              <w:rPr>
                <w:kern w:val="0"/>
                <w:sz w:val="24"/>
              </w:rPr>
            </w:pPr>
            <w:r>
              <w:rPr>
                <w:rFonts w:hint="eastAsia" w:hAnsi="宋体"/>
                <w:kern w:val="0"/>
                <w:sz w:val="24"/>
              </w:rPr>
              <w:t>（提纲式列举本科目须考查的知识要点）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67" w:type="dxa"/>
            <w:left w:w="0" w:type="dxa"/>
            <w:bottom w:w="0" w:type="dxa"/>
            <w:right w:w="0" w:type="dxa"/>
          </w:tblCellMar>
        </w:tblPrEx>
        <w:trPr>
          <w:trHeight w:val="585" w:hRule="atLeast"/>
          <w:jc w:val="center"/>
        </w:trPr>
        <w:tc>
          <w:tcPr>
            <w:tcW w:w="1260" w:type="dxa"/>
            <w:tcMar>
              <w:top w:w="0" w:type="dxa"/>
              <w:left w:w="108" w:type="dxa"/>
              <w:bottom w:w="0" w:type="dxa"/>
              <w:right w:w="108" w:type="dxa"/>
            </w:tcMar>
            <w:vAlign w:val="center"/>
          </w:tcPr>
          <w:p>
            <w:pPr>
              <w:widowControl/>
              <w:wordWrap w:val="0"/>
              <w:spacing w:line="460" w:lineRule="atLeast"/>
              <w:jc w:val="center"/>
              <w:rPr>
                <w:kern w:val="0"/>
                <w:sz w:val="24"/>
              </w:rPr>
            </w:pPr>
            <w:r>
              <w:rPr>
                <w:kern w:val="0"/>
                <w:sz w:val="24"/>
              </w:rPr>
              <w:t>846</w:t>
            </w:r>
          </w:p>
        </w:tc>
        <w:tc>
          <w:tcPr>
            <w:tcW w:w="1427" w:type="dxa"/>
            <w:tcMar>
              <w:top w:w="0" w:type="dxa"/>
              <w:left w:w="108" w:type="dxa"/>
              <w:bottom w:w="0" w:type="dxa"/>
              <w:right w:w="108" w:type="dxa"/>
            </w:tcMar>
            <w:vAlign w:val="center"/>
          </w:tcPr>
          <w:p>
            <w:pPr>
              <w:widowControl/>
              <w:wordWrap w:val="0"/>
              <w:spacing w:line="460" w:lineRule="atLeast"/>
              <w:jc w:val="center"/>
              <w:rPr>
                <w:kern w:val="0"/>
                <w:sz w:val="24"/>
              </w:rPr>
            </w:pPr>
            <w:r>
              <w:rPr>
                <w:rFonts w:hint="eastAsia"/>
                <w:kern w:val="0"/>
                <w:sz w:val="24"/>
              </w:rPr>
              <w:t>经济学基础</w:t>
            </w:r>
          </w:p>
        </w:tc>
        <w:tc>
          <w:tcPr>
            <w:tcW w:w="5953" w:type="dxa"/>
            <w:tcMar>
              <w:top w:w="0" w:type="dxa"/>
              <w:left w:w="108" w:type="dxa"/>
              <w:bottom w:w="0" w:type="dxa"/>
              <w:right w:w="108" w:type="dxa"/>
            </w:tcMar>
          </w:tcPr>
          <w:p>
            <w:pPr>
              <w:pStyle w:val="3"/>
              <w:spacing w:beforeLines="0" w:afterLines="0" w:line="300" w:lineRule="auto"/>
            </w:pPr>
            <w:r>
              <w:rPr>
                <w:rFonts w:hint="eastAsia"/>
              </w:rPr>
              <w:t>一、考试性质</w:t>
            </w:r>
          </w:p>
          <w:p>
            <w:pPr>
              <w:spacing w:line="300" w:lineRule="auto"/>
              <w:ind w:firstLine="480" w:firstLineChars="200"/>
              <w:rPr>
                <w:rFonts w:ascii="仿宋" w:hAnsi="仿宋" w:eastAsia="仿宋"/>
                <w:sz w:val="24"/>
              </w:rPr>
            </w:pPr>
            <w:r>
              <w:rPr>
                <w:rFonts w:ascii="仿宋" w:hAnsi="仿宋" w:eastAsia="仿宋"/>
                <w:sz w:val="24"/>
              </w:rPr>
              <w:t>2018</w:t>
            </w:r>
            <w:r>
              <w:rPr>
                <w:rFonts w:hint="eastAsia" w:ascii="仿宋" w:hAnsi="仿宋" w:eastAsia="仿宋"/>
                <w:sz w:val="24"/>
              </w:rPr>
              <w:t>年金融学科学学位硕士研究生入学统一考试专业课程考试的考试科目为《经济学基础》，包括《西方经济学（微观）》、《西方经济学（宏观）》、《计量经济学》三部分内容。《经济学基础》考试力求反映金融学硕士科学学位的特点，其目的是科学、公平、准确、规范地测评考生是否具备攻读金融学科学学位硕士所具备的基本素质和综合能力，选拔具有发展潜力的优秀人才入学，为国家的经济建设培养具有创新精神、创新能力和从事科学研究、教学、管理等工作能力的高层次学术型专门人才。</w:t>
            </w:r>
          </w:p>
          <w:p>
            <w:pPr>
              <w:pStyle w:val="3"/>
              <w:spacing w:beforeLines="0" w:afterLines="0" w:line="300" w:lineRule="auto"/>
            </w:pPr>
            <w:r>
              <w:rPr>
                <w:rFonts w:hint="eastAsia"/>
              </w:rPr>
              <w:t>二、考试要求</w:t>
            </w:r>
          </w:p>
          <w:p>
            <w:pPr>
              <w:spacing w:line="300" w:lineRule="auto"/>
              <w:ind w:firstLine="480" w:firstLineChars="200"/>
              <w:rPr>
                <w:rFonts w:ascii="仿宋" w:hAnsi="仿宋" w:eastAsia="仿宋"/>
                <w:sz w:val="24"/>
              </w:rPr>
            </w:pPr>
            <w:r>
              <w:rPr>
                <w:rFonts w:hint="eastAsia" w:ascii="仿宋" w:hAnsi="仿宋" w:eastAsia="仿宋"/>
                <w:sz w:val="24"/>
              </w:rPr>
              <w:t>测试考生对于与微观经济学、宏观经济学以及计量经济学相关的基本概念、基础理论的掌握和运用能力。</w:t>
            </w:r>
          </w:p>
          <w:p>
            <w:pPr>
              <w:numPr>
                <w:ilvl w:val="0"/>
                <w:numId w:val="1"/>
              </w:numPr>
              <w:spacing w:line="300" w:lineRule="auto"/>
              <w:rPr>
                <w:b/>
                <w:kern w:val="0"/>
                <w:sz w:val="24"/>
              </w:rPr>
            </w:pPr>
            <w:r>
              <w:rPr>
                <w:rFonts w:hint="eastAsia" w:ascii="宋体" w:hAnsi="宋体" w:cs="宋体"/>
                <w:b/>
                <w:bCs/>
                <w:sz w:val="28"/>
                <w:szCs w:val="28"/>
              </w:rPr>
              <w:t>考试方式与分值（总分为</w:t>
            </w:r>
            <w:r>
              <w:rPr>
                <w:rFonts w:ascii="宋体" w:hAnsi="宋体" w:cs="宋体"/>
                <w:b/>
                <w:bCs/>
                <w:sz w:val="28"/>
                <w:szCs w:val="28"/>
              </w:rPr>
              <w:t>150</w:t>
            </w:r>
            <w:r>
              <w:rPr>
                <w:rFonts w:hint="eastAsia" w:ascii="宋体" w:hAnsi="宋体" w:cs="宋体"/>
                <w:b/>
                <w:bCs/>
                <w:sz w:val="28"/>
                <w:szCs w:val="28"/>
              </w:rPr>
              <w:t>分）</w:t>
            </w:r>
          </w:p>
          <w:p>
            <w:pPr>
              <w:spacing w:line="300" w:lineRule="auto"/>
              <w:ind w:firstLine="480" w:firstLineChars="200"/>
              <w:rPr>
                <w:rFonts w:ascii="仿宋" w:hAnsi="仿宋" w:eastAsia="仿宋"/>
                <w:sz w:val="24"/>
              </w:rPr>
            </w:pPr>
            <w:r>
              <w:rPr>
                <w:rFonts w:hint="eastAsia" w:ascii="仿宋" w:hAnsi="仿宋" w:eastAsia="仿宋"/>
                <w:sz w:val="24"/>
              </w:rPr>
              <w:t>（一）试卷满分及考试时间</w:t>
            </w:r>
          </w:p>
          <w:p>
            <w:pPr>
              <w:spacing w:line="300" w:lineRule="auto"/>
              <w:ind w:firstLine="480" w:firstLineChars="200"/>
              <w:rPr>
                <w:rFonts w:ascii="仿宋" w:hAnsi="仿宋" w:eastAsia="仿宋"/>
                <w:sz w:val="24"/>
              </w:rPr>
            </w:pPr>
            <w:r>
              <w:rPr>
                <w:rFonts w:hint="eastAsia" w:ascii="仿宋" w:hAnsi="仿宋" w:eastAsia="仿宋"/>
                <w:sz w:val="24"/>
              </w:rPr>
              <w:t>本试卷满分为</w:t>
            </w:r>
            <w:r>
              <w:rPr>
                <w:rFonts w:ascii="仿宋" w:hAnsi="仿宋" w:eastAsia="仿宋"/>
                <w:sz w:val="24"/>
              </w:rPr>
              <w:t>150</w:t>
            </w:r>
            <w:r>
              <w:rPr>
                <w:rFonts w:hint="eastAsia" w:ascii="仿宋" w:hAnsi="仿宋" w:eastAsia="仿宋"/>
                <w:sz w:val="24"/>
              </w:rPr>
              <w:t>分，考试时间为</w:t>
            </w:r>
            <w:r>
              <w:rPr>
                <w:rFonts w:ascii="仿宋" w:hAnsi="仿宋" w:eastAsia="仿宋"/>
                <w:sz w:val="24"/>
              </w:rPr>
              <w:t>180</w:t>
            </w:r>
            <w:r>
              <w:rPr>
                <w:rFonts w:hint="eastAsia" w:ascii="仿宋" w:hAnsi="仿宋" w:eastAsia="仿宋"/>
                <w:sz w:val="24"/>
              </w:rPr>
              <w:t>分钟。</w:t>
            </w:r>
          </w:p>
          <w:p>
            <w:pPr>
              <w:spacing w:line="300" w:lineRule="auto"/>
              <w:ind w:firstLine="480" w:firstLineChars="200"/>
              <w:rPr>
                <w:rFonts w:ascii="仿宋" w:hAnsi="仿宋" w:eastAsia="仿宋"/>
                <w:sz w:val="24"/>
              </w:rPr>
            </w:pPr>
            <w:r>
              <w:rPr>
                <w:rFonts w:hint="eastAsia" w:ascii="仿宋" w:hAnsi="仿宋" w:eastAsia="仿宋"/>
                <w:sz w:val="24"/>
              </w:rPr>
              <w:t>（二）试卷题型结构（题型与题目个数可以视情况微调）</w:t>
            </w:r>
          </w:p>
          <w:p>
            <w:pPr>
              <w:spacing w:line="300" w:lineRule="auto"/>
              <w:ind w:left="2158" w:leftChars="342" w:hanging="1440" w:hangingChars="600"/>
              <w:rPr>
                <w:rFonts w:ascii="仿宋" w:hAnsi="仿宋" w:eastAsia="仿宋"/>
                <w:sz w:val="24"/>
              </w:rPr>
            </w:pPr>
            <w:r>
              <w:rPr>
                <w:rFonts w:ascii="仿宋" w:hAnsi="仿宋" w:eastAsia="仿宋"/>
                <w:sz w:val="24"/>
              </w:rPr>
              <w:t>1.</w:t>
            </w:r>
            <w:r>
              <w:rPr>
                <w:rFonts w:hint="eastAsia" w:ascii="仿宋" w:hAnsi="仿宋" w:eastAsia="仿宋"/>
                <w:sz w:val="24"/>
              </w:rPr>
              <w:t>名词解释（</w:t>
            </w:r>
            <w:r>
              <w:rPr>
                <w:rFonts w:ascii="仿宋" w:hAnsi="仿宋" w:eastAsia="仿宋"/>
                <w:sz w:val="24"/>
              </w:rPr>
              <w:t>6</w:t>
            </w:r>
            <w:r>
              <w:rPr>
                <w:rFonts w:hint="eastAsia" w:ascii="仿宋" w:hAnsi="仿宋" w:eastAsia="仿宋"/>
                <w:sz w:val="24"/>
              </w:rPr>
              <w:t>小题，每小题</w:t>
            </w:r>
            <w:r>
              <w:rPr>
                <w:rFonts w:ascii="仿宋" w:hAnsi="仿宋" w:eastAsia="仿宋"/>
                <w:sz w:val="24"/>
              </w:rPr>
              <w:t>3</w:t>
            </w:r>
            <w:r>
              <w:rPr>
                <w:rFonts w:hint="eastAsia" w:ascii="仿宋" w:hAnsi="仿宋" w:eastAsia="仿宋"/>
                <w:sz w:val="24"/>
              </w:rPr>
              <w:t>分，其中计量</w:t>
            </w:r>
            <w:r>
              <w:rPr>
                <w:rFonts w:ascii="仿宋" w:hAnsi="仿宋" w:eastAsia="仿宋"/>
                <w:sz w:val="24"/>
              </w:rPr>
              <w:t>2</w:t>
            </w:r>
            <w:r>
              <w:rPr>
                <w:rFonts w:hint="eastAsia" w:ascii="仿宋" w:hAnsi="仿宋" w:eastAsia="仿宋"/>
                <w:sz w:val="24"/>
              </w:rPr>
              <w:t>道，共</w:t>
            </w:r>
            <w:r>
              <w:rPr>
                <w:rFonts w:ascii="仿宋" w:hAnsi="仿宋" w:eastAsia="仿宋"/>
                <w:sz w:val="24"/>
              </w:rPr>
              <w:t>18</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2.</w:t>
            </w:r>
            <w:r>
              <w:rPr>
                <w:rFonts w:hint="eastAsia" w:ascii="仿宋" w:hAnsi="仿宋" w:eastAsia="仿宋"/>
                <w:sz w:val="24"/>
              </w:rPr>
              <w:t>不定项选择题（</w:t>
            </w:r>
            <w:r>
              <w:rPr>
                <w:rFonts w:ascii="仿宋" w:hAnsi="仿宋" w:eastAsia="仿宋"/>
                <w:sz w:val="24"/>
              </w:rPr>
              <w:t>30</w:t>
            </w:r>
            <w:r>
              <w:rPr>
                <w:rFonts w:hint="eastAsia" w:ascii="仿宋" w:hAnsi="仿宋" w:eastAsia="仿宋"/>
                <w:sz w:val="24"/>
              </w:rPr>
              <w:t>小题，每小题</w:t>
            </w:r>
            <w:r>
              <w:rPr>
                <w:rFonts w:ascii="仿宋" w:hAnsi="仿宋" w:eastAsia="仿宋"/>
                <w:sz w:val="24"/>
              </w:rPr>
              <w:t>2</w:t>
            </w:r>
            <w:r>
              <w:rPr>
                <w:rFonts w:hint="eastAsia" w:ascii="仿宋" w:hAnsi="仿宋" w:eastAsia="仿宋"/>
                <w:sz w:val="24"/>
              </w:rPr>
              <w:t>分，其中计量</w:t>
            </w:r>
            <w:r>
              <w:rPr>
                <w:rFonts w:ascii="仿宋" w:hAnsi="仿宋" w:eastAsia="仿宋"/>
                <w:sz w:val="24"/>
              </w:rPr>
              <w:t>6</w:t>
            </w:r>
            <w:r>
              <w:rPr>
                <w:rFonts w:hint="eastAsia" w:ascii="仿宋" w:hAnsi="仿宋" w:eastAsia="仿宋"/>
                <w:sz w:val="24"/>
              </w:rPr>
              <w:t>分，共</w:t>
            </w:r>
            <w:r>
              <w:rPr>
                <w:rFonts w:ascii="仿宋" w:hAnsi="仿宋" w:eastAsia="仿宋"/>
                <w:sz w:val="24"/>
              </w:rPr>
              <w:t>60</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3.</w:t>
            </w:r>
            <w:r>
              <w:rPr>
                <w:rFonts w:hint="eastAsia" w:ascii="仿宋" w:hAnsi="仿宋" w:eastAsia="仿宋"/>
                <w:sz w:val="24"/>
              </w:rPr>
              <w:t>计算题（</w:t>
            </w:r>
            <w:r>
              <w:rPr>
                <w:rFonts w:ascii="仿宋" w:hAnsi="仿宋" w:eastAsia="仿宋"/>
                <w:sz w:val="24"/>
              </w:rPr>
              <w:t>5</w:t>
            </w:r>
            <w:r>
              <w:rPr>
                <w:rFonts w:hint="eastAsia" w:ascii="仿宋" w:hAnsi="仿宋" w:eastAsia="仿宋"/>
                <w:sz w:val="24"/>
              </w:rPr>
              <w:t>小题，每小题</w:t>
            </w:r>
            <w:r>
              <w:rPr>
                <w:rFonts w:ascii="仿宋" w:hAnsi="仿宋" w:eastAsia="仿宋"/>
                <w:sz w:val="24"/>
              </w:rPr>
              <w:t>10</w:t>
            </w:r>
            <w:r>
              <w:rPr>
                <w:rFonts w:hint="eastAsia" w:ascii="仿宋" w:hAnsi="仿宋" w:eastAsia="仿宋"/>
                <w:sz w:val="24"/>
              </w:rPr>
              <w:t>分，其中计量</w:t>
            </w:r>
            <w:r>
              <w:rPr>
                <w:rFonts w:ascii="仿宋" w:hAnsi="仿宋" w:eastAsia="仿宋"/>
                <w:sz w:val="24"/>
              </w:rPr>
              <w:t>1</w:t>
            </w:r>
            <w:r>
              <w:rPr>
                <w:rFonts w:hint="eastAsia" w:ascii="仿宋" w:hAnsi="仿宋" w:eastAsia="仿宋"/>
                <w:sz w:val="24"/>
              </w:rPr>
              <w:t>道，共</w:t>
            </w:r>
            <w:r>
              <w:rPr>
                <w:rFonts w:ascii="仿宋" w:hAnsi="仿宋" w:eastAsia="仿宋"/>
                <w:sz w:val="24"/>
              </w:rPr>
              <w:t>50</w:t>
            </w:r>
            <w:r>
              <w:rPr>
                <w:rFonts w:hint="eastAsia" w:ascii="仿宋" w:hAnsi="仿宋" w:eastAsia="仿宋"/>
                <w:sz w:val="24"/>
              </w:rPr>
              <w:t>分）</w:t>
            </w:r>
          </w:p>
          <w:p>
            <w:pPr>
              <w:spacing w:line="300" w:lineRule="auto"/>
              <w:ind w:left="2158" w:leftChars="342" w:hanging="1440" w:hangingChars="600"/>
              <w:rPr>
                <w:rFonts w:ascii="仿宋" w:hAnsi="仿宋" w:eastAsia="仿宋"/>
                <w:sz w:val="24"/>
              </w:rPr>
            </w:pPr>
            <w:r>
              <w:rPr>
                <w:rFonts w:ascii="仿宋" w:hAnsi="仿宋" w:eastAsia="仿宋"/>
                <w:sz w:val="24"/>
              </w:rPr>
              <w:t>4.</w:t>
            </w:r>
            <w:r>
              <w:rPr>
                <w:rFonts w:hint="eastAsia" w:ascii="仿宋" w:hAnsi="仿宋" w:eastAsia="仿宋"/>
                <w:sz w:val="24"/>
              </w:rPr>
              <w:t>论述题（第</w:t>
            </w:r>
            <w:r>
              <w:rPr>
                <w:rFonts w:ascii="仿宋" w:hAnsi="仿宋" w:eastAsia="仿宋"/>
                <w:sz w:val="24"/>
              </w:rPr>
              <w:t>1</w:t>
            </w:r>
            <w:r>
              <w:rPr>
                <w:rFonts w:hint="eastAsia" w:ascii="仿宋" w:hAnsi="仿宋" w:eastAsia="仿宋"/>
                <w:sz w:val="24"/>
              </w:rPr>
              <w:t>小题</w:t>
            </w:r>
            <w:r>
              <w:rPr>
                <w:rFonts w:ascii="仿宋" w:hAnsi="仿宋" w:eastAsia="仿宋"/>
                <w:sz w:val="24"/>
              </w:rPr>
              <w:t>10</w:t>
            </w:r>
            <w:r>
              <w:rPr>
                <w:rFonts w:hint="eastAsia" w:ascii="仿宋" w:hAnsi="仿宋" w:eastAsia="仿宋"/>
                <w:sz w:val="24"/>
              </w:rPr>
              <w:t>分（微观），第二小题</w:t>
            </w:r>
            <w:r>
              <w:rPr>
                <w:rFonts w:ascii="仿宋" w:hAnsi="仿宋" w:eastAsia="仿宋"/>
                <w:sz w:val="24"/>
              </w:rPr>
              <w:t>12</w:t>
            </w:r>
            <w:r>
              <w:rPr>
                <w:rFonts w:hint="eastAsia" w:ascii="仿宋" w:hAnsi="仿宋" w:eastAsia="仿宋"/>
                <w:sz w:val="24"/>
              </w:rPr>
              <w:t>分（宏观），共</w:t>
            </w:r>
            <w:r>
              <w:rPr>
                <w:rFonts w:ascii="仿宋" w:hAnsi="仿宋" w:eastAsia="仿宋"/>
                <w:sz w:val="24"/>
              </w:rPr>
              <w:t>22</w:t>
            </w:r>
            <w:r>
              <w:rPr>
                <w:rFonts w:hint="eastAsia" w:ascii="仿宋" w:hAnsi="仿宋" w:eastAsia="仿宋"/>
                <w:sz w:val="24"/>
              </w:rPr>
              <w:t>分）</w:t>
            </w:r>
          </w:p>
          <w:p>
            <w:pPr>
              <w:pStyle w:val="3"/>
              <w:spacing w:beforeLines="0" w:afterLines="0" w:line="300" w:lineRule="auto"/>
            </w:pPr>
            <w:r>
              <w:rPr>
                <w:rFonts w:hint="eastAsia"/>
              </w:rPr>
              <w:t>四、考试内容</w:t>
            </w:r>
          </w:p>
          <w:p>
            <w:pPr>
              <w:widowControl/>
              <w:snapToGrid w:val="0"/>
              <w:jc w:val="left"/>
              <w:rPr>
                <w:rFonts w:ascii="仿宋" w:hAnsi="仿宋" w:eastAsia="仿宋"/>
                <w:sz w:val="24"/>
              </w:rPr>
            </w:pPr>
            <w:r>
              <w:rPr>
                <w:rFonts w:hint="eastAsia" w:ascii="仿宋" w:hAnsi="仿宋" w:eastAsia="仿宋"/>
                <w:sz w:val="24"/>
              </w:rPr>
              <w:t>第一部分</w:t>
            </w:r>
            <w:r>
              <w:rPr>
                <w:rFonts w:ascii="仿宋" w:hAnsi="仿宋" w:eastAsia="仿宋"/>
                <w:sz w:val="24"/>
              </w:rPr>
              <w:t xml:space="preserve"> </w:t>
            </w:r>
            <w:r>
              <w:rPr>
                <w:rFonts w:hint="eastAsia" w:ascii="仿宋" w:hAnsi="仿宋" w:eastAsia="仿宋"/>
                <w:sz w:val="24"/>
              </w:rPr>
              <w:t>西方经济学（宏观、微观部分）</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一、经济学研究对象与研究方法</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（一）经济学的研究对象</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（二）经济学的研究内容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（三）经济学的研究方法</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二、需求、供给、弹性与均衡价格</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（一）需求理论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（二）供给理论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（三）均衡</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（四）弹性理论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三、消费者行为理论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（一）效用、总效用与边际效用</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（二）边际效用递减规律与消费者剩余</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（三）无差异曲线与预算线、消费者效用最大化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（四）价格消费曲线与收入消费曲线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（五）替代效应与收入效应</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（六）不确定性与选择</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四、生产者行为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（一）厂商与生产函数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（二）短期生产函数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（三）长期生产函数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（四）规模报酬</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五、成本理论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（一）机会成本与经济利润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（二）成本最小化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（三）短期成本曲线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（四）长期成本曲线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六、完全竞争市场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（一）划分市场结构的标准与市场结构类型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（二）完全竞争市场假设、价格、需求曲线、收益曲线、利润最大化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（三）完全竞争市场上的短期均衡与供给曲线。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（四）完全竞争市场上的长期均衡与供给曲线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（五）完全竞争市场的福利</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七、不完全竞争市场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（一）完全垄断市场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（二）垄断竞争市场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（三）寡头市场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（四）不同市场的比较</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八、生产要素理论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（一）完全竞争厂商对生产要素的需求曲线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（二）要素供给曲线概述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（三）劳动的供给曲线及工资的决定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（四）地租的决定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（五）资本与利息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（六）洛伦兹曲线与基尼系数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九、一般均衡与福利经济学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（一）瓦尔拉的一般均衡理论</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（二）交换、生产以及交换和生产的帕累托最优</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（三）完全竞争和帕累托最优</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（四）社会福利函数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（五）效率与公平</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十、市场失灵与微观经济政策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（一）不完全竞争</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（二）外部影响</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（三）公共物品与公共资源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（四）信息的不完全与不对称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十一、国民收入核算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（一）国内生产总值与国民生产总值</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w:t>
            </w:r>
            <w:r>
              <w:rPr>
                <w:rFonts w:ascii="仿宋" w:hAnsi="仿宋" w:eastAsia="仿宋"/>
                <w:color w:val="000000"/>
                <w:sz w:val="24"/>
              </w:rPr>
              <w:t>GDP</w:t>
            </w:r>
            <w:r>
              <w:rPr>
                <w:rFonts w:hint="eastAsia" w:ascii="仿宋" w:hAnsi="仿宋" w:eastAsia="仿宋"/>
                <w:color w:val="000000"/>
                <w:sz w:val="24"/>
              </w:rPr>
              <w:t>的核算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（三）国民收入核算中的其他总量</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（四）名义</w:t>
            </w:r>
            <w:r>
              <w:rPr>
                <w:rFonts w:ascii="仿宋" w:hAnsi="仿宋" w:eastAsia="仿宋"/>
                <w:color w:val="000000"/>
                <w:sz w:val="24"/>
              </w:rPr>
              <w:t>GDP</w:t>
            </w:r>
            <w:r>
              <w:rPr>
                <w:rFonts w:hint="eastAsia" w:ascii="仿宋" w:hAnsi="仿宋" w:eastAsia="仿宋"/>
                <w:color w:val="000000"/>
                <w:sz w:val="24"/>
              </w:rPr>
              <w:t>和实际</w:t>
            </w:r>
            <w:r>
              <w:rPr>
                <w:rFonts w:ascii="仿宋" w:hAnsi="仿宋" w:eastAsia="仿宋"/>
                <w:color w:val="000000"/>
                <w:sz w:val="24"/>
              </w:rPr>
              <w:t>GDP</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十二、国民收入的决定：收入支出模型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（一）凯恩斯的消费理论与消费函数</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（二）两部门经济中国民收入的决定</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（三）乘数理论</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（四）三部门经济中国民收入的决定</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（五）四部门经济中国民收入的决定</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十三、国民收入的决定：</w:t>
            </w:r>
            <w:r>
              <w:rPr>
                <w:rFonts w:ascii="仿宋" w:hAnsi="仿宋" w:eastAsia="仿宋"/>
                <w:color w:val="000000"/>
                <w:sz w:val="24"/>
              </w:rPr>
              <w:t>IS—LM</w:t>
            </w:r>
            <w:r>
              <w:rPr>
                <w:rFonts w:hint="eastAsia" w:ascii="仿宋" w:hAnsi="仿宋" w:eastAsia="仿宋"/>
                <w:color w:val="000000"/>
                <w:sz w:val="24"/>
              </w:rPr>
              <w:t>模型</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（一）利率、资本的边际效率与投资</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（二）产品市场的均衡：</w:t>
            </w:r>
            <w:r>
              <w:rPr>
                <w:rFonts w:ascii="仿宋" w:hAnsi="仿宋" w:eastAsia="仿宋"/>
                <w:color w:val="000000"/>
                <w:sz w:val="24"/>
              </w:rPr>
              <w:t>IS</w:t>
            </w:r>
            <w:r>
              <w:rPr>
                <w:rFonts w:hint="eastAsia" w:ascii="仿宋" w:hAnsi="仿宋" w:eastAsia="仿宋"/>
                <w:color w:val="000000"/>
                <w:sz w:val="24"/>
              </w:rPr>
              <w:t>曲线</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（三）货币市场的均衡：</w:t>
            </w:r>
            <w:r>
              <w:rPr>
                <w:rFonts w:ascii="仿宋" w:hAnsi="仿宋" w:eastAsia="仿宋"/>
                <w:color w:val="000000"/>
                <w:sz w:val="24"/>
              </w:rPr>
              <w:t>LM</w:t>
            </w:r>
            <w:r>
              <w:rPr>
                <w:rFonts w:hint="eastAsia" w:ascii="仿宋" w:hAnsi="仿宋" w:eastAsia="仿宋"/>
                <w:color w:val="000000"/>
                <w:sz w:val="24"/>
              </w:rPr>
              <w:t>曲线</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（四）产品市场与货币市场的同时均衡：</w:t>
            </w:r>
            <w:r>
              <w:rPr>
                <w:rFonts w:ascii="仿宋" w:hAnsi="仿宋" w:eastAsia="仿宋"/>
                <w:color w:val="000000"/>
                <w:sz w:val="24"/>
              </w:rPr>
              <w:t>IS—LM</w:t>
            </w:r>
            <w:r>
              <w:rPr>
                <w:rFonts w:hint="eastAsia" w:ascii="仿宋" w:hAnsi="仿宋" w:eastAsia="仿宋"/>
                <w:color w:val="000000"/>
                <w:sz w:val="24"/>
              </w:rPr>
              <w:t>模型</w:t>
            </w:r>
            <w:r>
              <w:rPr>
                <w:rFonts w:ascii="仿宋" w:hAnsi="仿宋" w:eastAsia="仿宋"/>
                <w:color w:val="000000"/>
                <w:sz w:val="24"/>
              </w:rPr>
              <w:t xml:space="preserve">  </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十四、总需求总供给分析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（一）总供给曲线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（二）总需求曲线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（三）总需求与总供给模型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十五、失业与通货膨胀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（一）失业描述、原因以及失业率计算</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（二）通货膨胀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（三）失业与通货膨胀的关系</w:t>
            </w:r>
            <w:r>
              <w:rPr>
                <w:rFonts w:ascii="仿宋" w:hAnsi="仿宋" w:eastAsia="仿宋"/>
                <w:color w:val="000000"/>
                <w:sz w:val="24"/>
              </w:rPr>
              <w:t>-</w:t>
            </w:r>
            <w:r>
              <w:rPr>
                <w:rFonts w:hint="eastAsia" w:ascii="仿宋" w:hAnsi="仿宋" w:eastAsia="仿宋"/>
                <w:color w:val="000000"/>
                <w:sz w:val="24"/>
              </w:rPr>
              <w:t>菲利普斯曲线</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十六、宏观经济政策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（一）宏观经济政策概述</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（二）财政政策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（四）财政政策和货币政策的配合</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（五）供给管理政策</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十七、开放条件下的宏观经济学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（一）汇率与国际收支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（二）蒙代尔</w:t>
            </w:r>
            <w:r>
              <w:rPr>
                <w:rFonts w:ascii="仿宋" w:hAnsi="仿宋" w:eastAsia="仿宋"/>
                <w:color w:val="000000"/>
                <w:sz w:val="24"/>
              </w:rPr>
              <w:t>-</w:t>
            </w:r>
            <w:r>
              <w:rPr>
                <w:rFonts w:hint="eastAsia" w:ascii="仿宋" w:hAnsi="仿宋" w:eastAsia="仿宋"/>
                <w:color w:val="000000"/>
                <w:sz w:val="24"/>
              </w:rPr>
              <w:t>弗莱明模型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十八、经济增长论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（一）新古典增长模型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（二）内生增长理论</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十九、宏观经济学的微观基础</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（一）消费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（二）投资</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（三）货币需求</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二十、新古典宏观经济学和新凯恩斯主义经济学</w:t>
            </w:r>
          </w:p>
          <w:p>
            <w:pPr>
              <w:widowControl/>
              <w:snapToGrid w:val="0"/>
              <w:jc w:val="left"/>
              <w:rPr>
                <w:rFonts w:ascii="仿宋" w:hAnsi="仿宋" w:eastAsia="仿宋"/>
                <w:sz w:val="24"/>
              </w:rPr>
            </w:pPr>
          </w:p>
          <w:p>
            <w:pPr>
              <w:spacing w:line="300" w:lineRule="auto"/>
              <w:rPr>
                <w:rFonts w:ascii="仿宋" w:hAnsi="仿宋" w:eastAsia="仿宋"/>
                <w:b/>
                <w:bCs/>
                <w:color w:val="000000"/>
                <w:sz w:val="24"/>
              </w:rPr>
            </w:pPr>
            <w:r>
              <w:rPr>
                <w:rFonts w:hint="eastAsia" w:ascii="仿宋" w:hAnsi="仿宋" w:eastAsia="仿宋"/>
                <w:color w:val="000000"/>
                <w:sz w:val="24"/>
              </w:rPr>
              <w:t>第二部分</w:t>
            </w:r>
            <w:r>
              <w:rPr>
                <w:rFonts w:ascii="仿宋" w:hAnsi="仿宋" w:eastAsia="仿宋"/>
                <w:color w:val="000000"/>
                <w:sz w:val="24"/>
              </w:rPr>
              <w:t xml:space="preserve"> </w:t>
            </w:r>
            <w:r>
              <w:rPr>
                <w:rFonts w:hint="eastAsia" w:ascii="仿宋" w:hAnsi="仿宋" w:eastAsia="仿宋"/>
                <w:color w:val="000000"/>
                <w:sz w:val="24"/>
              </w:rPr>
              <w:t>计量经济学</w:t>
            </w:r>
            <w:r>
              <w:rPr>
                <w:rFonts w:hint="eastAsia" w:ascii="仿宋" w:hAnsi="仿宋" w:eastAsia="仿宋"/>
                <w:b/>
                <w:bCs/>
                <w:color w:val="000000"/>
                <w:sz w:val="24"/>
              </w:rPr>
              <w:t>（</w:t>
            </w:r>
            <w:r>
              <w:rPr>
                <w:rFonts w:ascii="仿宋" w:hAnsi="仿宋" w:eastAsia="仿宋"/>
                <w:b/>
                <w:bCs/>
                <w:color w:val="000000"/>
                <w:sz w:val="24"/>
              </w:rPr>
              <w:t>*</w:t>
            </w:r>
            <w:r>
              <w:rPr>
                <w:rFonts w:hint="eastAsia" w:ascii="仿宋" w:hAnsi="仿宋" w:eastAsia="仿宋"/>
                <w:b/>
                <w:bCs/>
                <w:color w:val="000000"/>
                <w:sz w:val="24"/>
              </w:rPr>
              <w:t>代表重要程度）</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一、单方程计量经济学模型：一元线性回归模型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（一）回归分析与相关分析（</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（二）总体相关系数和样本相关系数计算（</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（三）总体回归函数与样本回归函数（</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（四）一元线性回归模型的基本假设</w:t>
            </w:r>
          </w:p>
          <w:p>
            <w:pPr>
              <w:spacing w:line="300" w:lineRule="auto"/>
              <w:ind w:firstLine="720" w:firstLineChars="3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对模型设定的假设（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对解释变量的假设（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对随机干扰项的假设（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（五）普通最小二乘法（</w:t>
            </w:r>
            <w:r>
              <w:rPr>
                <w:rFonts w:ascii="仿宋" w:hAnsi="仿宋" w:eastAsia="仿宋"/>
                <w:color w:val="000000"/>
                <w:sz w:val="24"/>
              </w:rPr>
              <w:t>***</w:t>
            </w:r>
            <w:r>
              <w:rPr>
                <w:rFonts w:hint="eastAsia" w:ascii="仿宋" w:hAnsi="仿宋" w:eastAsia="仿宋"/>
                <w:color w:val="000000"/>
                <w:sz w:val="24"/>
              </w:rPr>
              <w:t>）</w:t>
            </w:r>
            <w:r>
              <w:rPr>
                <w:rFonts w:ascii="仿宋" w:hAnsi="仿宋" w:eastAsia="仿宋"/>
                <w:b/>
                <w:bCs/>
                <w:color w:val="2E74B5"/>
                <w:sz w:val="24"/>
              </w:rPr>
              <w:t>-</w:t>
            </w:r>
            <w:r>
              <w:rPr>
                <w:rFonts w:hint="eastAsia" w:ascii="仿宋" w:hAnsi="仿宋" w:eastAsia="仿宋"/>
                <w:b/>
                <w:bCs/>
                <w:color w:val="2E74B5"/>
                <w:sz w:val="24"/>
              </w:rPr>
              <w:t>计算题考点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（六）最小二乘估计式的统计性质（</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（七）一元线性回归模型的统计检验</w:t>
            </w:r>
          </w:p>
          <w:p>
            <w:pPr>
              <w:spacing w:line="300" w:lineRule="auto"/>
              <w:ind w:firstLine="720" w:firstLineChars="3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拟合优度检验（</w:t>
            </w:r>
            <w:r>
              <w:rPr>
                <w:rFonts w:ascii="仿宋" w:hAnsi="仿宋" w:eastAsia="仿宋"/>
                <w:color w:val="000000"/>
                <w:sz w:val="24"/>
              </w:rPr>
              <w:t>***</w:t>
            </w:r>
            <w:r>
              <w:rPr>
                <w:rFonts w:hint="eastAsia" w:ascii="仿宋" w:hAnsi="仿宋" w:eastAsia="仿宋"/>
                <w:color w:val="000000"/>
                <w:sz w:val="24"/>
              </w:rPr>
              <w:t>）</w:t>
            </w:r>
            <w:r>
              <w:rPr>
                <w:rFonts w:ascii="仿宋" w:hAnsi="仿宋" w:eastAsia="仿宋"/>
                <w:color w:val="000000"/>
                <w:sz w:val="24"/>
              </w:rPr>
              <w:t>-</w:t>
            </w:r>
            <w:r>
              <w:rPr>
                <w:rFonts w:hint="eastAsia" w:ascii="仿宋" w:hAnsi="仿宋" w:eastAsia="仿宋"/>
                <w:color w:val="000000"/>
                <w:sz w:val="24"/>
              </w:rPr>
              <w:t>计算题考点</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回归系数区间估计（</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回归系数假设检验</w:t>
            </w:r>
            <w:r>
              <w:rPr>
                <w:rFonts w:ascii="仿宋" w:hAnsi="仿宋" w:eastAsia="仿宋"/>
                <w:color w:val="000000"/>
                <w:sz w:val="24"/>
              </w:rPr>
              <w:t>-t</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二、经典单方程计量经济学模型：多元线性回归模型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（一）多元线性回归模型的基本假设（</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（二）多元线性回归模型的估计（</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（三）多元线性回归模型的统计检验</w:t>
            </w:r>
          </w:p>
          <w:p>
            <w:pPr>
              <w:spacing w:line="300" w:lineRule="auto"/>
              <w:ind w:firstLine="720" w:firstLineChars="300"/>
              <w:rPr>
                <w:rFonts w:ascii="仿宋" w:hAnsi="仿宋" w:eastAsia="仿宋"/>
                <w:b/>
                <w:bCs/>
                <w:color w:val="2E74B5"/>
                <w:sz w:val="24"/>
              </w:rPr>
            </w:pPr>
            <w:r>
              <w:rPr>
                <w:rFonts w:ascii="仿宋" w:hAnsi="仿宋" w:eastAsia="仿宋"/>
                <w:color w:val="000000"/>
                <w:sz w:val="24"/>
              </w:rPr>
              <w:t>1.</w:t>
            </w:r>
            <w:r>
              <w:rPr>
                <w:rFonts w:hint="eastAsia" w:ascii="仿宋" w:hAnsi="仿宋" w:eastAsia="仿宋"/>
                <w:color w:val="000000"/>
                <w:sz w:val="24"/>
              </w:rPr>
              <w:t>拟合优度检验（</w:t>
            </w:r>
            <w:r>
              <w:rPr>
                <w:rFonts w:ascii="仿宋" w:hAnsi="仿宋" w:eastAsia="仿宋"/>
                <w:color w:val="000000"/>
                <w:sz w:val="24"/>
              </w:rPr>
              <w:t>***</w:t>
            </w:r>
            <w:r>
              <w:rPr>
                <w:rFonts w:hint="eastAsia" w:ascii="仿宋" w:hAnsi="仿宋" w:eastAsia="仿宋"/>
                <w:color w:val="000000"/>
                <w:sz w:val="24"/>
              </w:rPr>
              <w:t>）</w:t>
            </w:r>
            <w:r>
              <w:rPr>
                <w:rFonts w:ascii="仿宋" w:hAnsi="仿宋" w:eastAsia="仿宋"/>
                <w:b/>
                <w:bCs/>
                <w:color w:val="2E74B5"/>
                <w:sz w:val="24"/>
              </w:rPr>
              <w:t>-</w:t>
            </w:r>
            <w:r>
              <w:rPr>
                <w:rFonts w:hint="eastAsia" w:ascii="仿宋" w:hAnsi="仿宋" w:eastAsia="仿宋"/>
                <w:b/>
                <w:bCs/>
                <w:color w:val="2E74B5"/>
                <w:sz w:val="24"/>
              </w:rPr>
              <w:t>计算题考点</w:t>
            </w:r>
          </w:p>
          <w:p>
            <w:pPr>
              <w:spacing w:line="300" w:lineRule="auto"/>
              <w:ind w:firstLine="720" w:firstLineChars="300"/>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方程总体线性的显著性检验</w:t>
            </w:r>
            <w:r>
              <w:rPr>
                <w:rFonts w:ascii="仿宋" w:hAnsi="仿宋" w:eastAsia="仿宋"/>
                <w:color w:val="000000"/>
                <w:sz w:val="24"/>
              </w:rPr>
              <w:t>-F</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720" w:firstLineChars="300"/>
              <w:rPr>
                <w:rFonts w:ascii="仿宋" w:hAnsi="仿宋" w:eastAsia="仿宋"/>
                <w:color w:val="000000"/>
                <w:sz w:val="24"/>
              </w:rPr>
            </w:pPr>
            <w:r>
              <w:rPr>
                <w:rFonts w:ascii="仿宋" w:hAnsi="仿宋" w:eastAsia="仿宋"/>
                <w:color w:val="000000"/>
                <w:sz w:val="24"/>
              </w:rPr>
              <w:t>3.</w:t>
            </w:r>
            <w:r>
              <w:rPr>
                <w:rFonts w:hint="eastAsia" w:ascii="仿宋" w:hAnsi="仿宋" w:eastAsia="仿宋"/>
                <w:color w:val="000000"/>
                <w:sz w:val="24"/>
              </w:rPr>
              <w:t>变量的显著性检验</w:t>
            </w:r>
            <w:r>
              <w:rPr>
                <w:rFonts w:ascii="仿宋" w:hAnsi="仿宋" w:eastAsia="仿宋"/>
                <w:color w:val="000000"/>
                <w:sz w:val="24"/>
              </w:rPr>
              <w:t>-t</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（四）非线性模型的线性化变换方法（</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三、多重共线性</w:t>
            </w:r>
            <w:r>
              <w:rPr>
                <w:rFonts w:hint="eastAsia" w:ascii="仿宋" w:hAnsi="仿宋" w:eastAsia="仿宋"/>
                <w:b/>
                <w:bCs/>
                <w:color w:val="2E74B5"/>
                <w:sz w:val="24"/>
              </w:rPr>
              <w:t>（选择题考点）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（一）多重共线性含义</w:t>
            </w:r>
            <w:r>
              <w:rPr>
                <w:rFonts w:ascii="仿宋" w:hAnsi="仿宋" w:eastAsia="仿宋"/>
                <w:color w:val="000000"/>
                <w:sz w:val="24"/>
              </w:rPr>
              <w:t>-</w:t>
            </w:r>
            <w:r>
              <w:rPr>
                <w:rFonts w:hint="eastAsia" w:ascii="仿宋" w:hAnsi="仿宋" w:eastAsia="仿宋"/>
                <w:color w:val="000000"/>
                <w:sz w:val="24"/>
              </w:rPr>
              <w:t>包括完全共线性，近似共线性（</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（二）多重共线性产生原因（</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（三）多重共线性产生后果（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（四）多重共线性的检验（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（五）如何克服多重共线性（</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四、异方差性</w:t>
            </w:r>
            <w:r>
              <w:rPr>
                <w:rFonts w:hint="eastAsia" w:ascii="仿宋" w:hAnsi="仿宋" w:eastAsia="仿宋"/>
                <w:b/>
                <w:bCs/>
                <w:color w:val="2E74B5"/>
                <w:sz w:val="24"/>
              </w:rPr>
              <w:t>（选择题考点）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（一）异方差含义及类型（</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（二）异方差产生原因及造成后果（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（三）异方差性的检验</w:t>
            </w:r>
            <w:r>
              <w:rPr>
                <w:rFonts w:ascii="仿宋" w:hAnsi="仿宋" w:eastAsia="仿宋"/>
                <w:color w:val="000000"/>
                <w:sz w:val="24"/>
              </w:rPr>
              <w:t>—</w:t>
            </w:r>
            <w:r>
              <w:rPr>
                <w:rFonts w:hint="eastAsia" w:ascii="仿宋" w:hAnsi="仿宋" w:eastAsia="仿宋"/>
                <w:color w:val="000000"/>
                <w:sz w:val="24"/>
              </w:rPr>
              <w:t>图示检验，</w:t>
            </w:r>
            <w:r>
              <w:rPr>
                <w:rFonts w:ascii="仿宋" w:hAnsi="仿宋" w:eastAsia="仿宋"/>
                <w:color w:val="000000"/>
                <w:sz w:val="24"/>
              </w:rPr>
              <w:t>G-Q</w:t>
            </w:r>
            <w:r>
              <w:rPr>
                <w:rFonts w:hint="eastAsia" w:ascii="仿宋" w:hAnsi="仿宋" w:eastAsia="仿宋"/>
                <w:color w:val="000000"/>
                <w:sz w:val="24"/>
              </w:rPr>
              <w:t>检验，</w:t>
            </w:r>
            <w:r>
              <w:rPr>
                <w:rFonts w:ascii="仿宋" w:hAnsi="仿宋" w:eastAsia="仿宋"/>
                <w:color w:val="000000"/>
                <w:sz w:val="24"/>
              </w:rPr>
              <w:t>White</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（四）异方差的修正方法</w:t>
            </w:r>
            <w:r>
              <w:rPr>
                <w:rFonts w:ascii="仿宋" w:hAnsi="仿宋" w:eastAsia="仿宋"/>
                <w:color w:val="000000"/>
                <w:sz w:val="24"/>
              </w:rPr>
              <w:t>—</w:t>
            </w:r>
            <w:r>
              <w:rPr>
                <w:rFonts w:hint="eastAsia" w:ascii="仿宋" w:hAnsi="仿宋" w:eastAsia="仿宋"/>
                <w:color w:val="000000"/>
                <w:sz w:val="24"/>
              </w:rPr>
              <w:t>加权最小二乘法（</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五、自相关（序列相关）</w:t>
            </w:r>
            <w:r>
              <w:rPr>
                <w:rFonts w:hint="eastAsia" w:ascii="仿宋" w:hAnsi="仿宋" w:eastAsia="仿宋"/>
                <w:b/>
                <w:bCs/>
                <w:color w:val="2E74B5"/>
                <w:sz w:val="24"/>
              </w:rPr>
              <w:t>（选择题考点）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（一）自相关含义及表现形式（</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（二）自相关产生原因及造成的后果（</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（三）序列相关检验方法</w:t>
            </w:r>
            <w:r>
              <w:rPr>
                <w:rFonts w:ascii="仿宋" w:hAnsi="仿宋" w:eastAsia="仿宋"/>
                <w:color w:val="000000"/>
                <w:sz w:val="24"/>
              </w:rPr>
              <w:t>—</w:t>
            </w:r>
            <w:r>
              <w:rPr>
                <w:rFonts w:hint="eastAsia" w:ascii="仿宋" w:hAnsi="仿宋" w:eastAsia="仿宋"/>
                <w:color w:val="000000"/>
                <w:sz w:val="24"/>
              </w:rPr>
              <w:t>图示检验，</w:t>
            </w:r>
            <w:r>
              <w:rPr>
                <w:rFonts w:ascii="仿宋" w:hAnsi="仿宋" w:eastAsia="仿宋"/>
                <w:color w:val="000000"/>
                <w:sz w:val="24"/>
              </w:rPr>
              <w:t>DW</w:t>
            </w:r>
            <w:r>
              <w:rPr>
                <w:rFonts w:hint="eastAsia" w:ascii="仿宋" w:hAnsi="仿宋" w:eastAsia="仿宋"/>
                <w:color w:val="000000"/>
                <w:sz w:val="24"/>
              </w:rPr>
              <w:t>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（四）序列相关的补救</w:t>
            </w:r>
            <w:r>
              <w:rPr>
                <w:rFonts w:ascii="仿宋" w:hAnsi="仿宋" w:eastAsia="仿宋"/>
                <w:color w:val="000000"/>
                <w:sz w:val="24"/>
              </w:rPr>
              <w:t>—</w:t>
            </w:r>
            <w:r>
              <w:rPr>
                <w:rFonts w:hint="eastAsia" w:ascii="仿宋" w:hAnsi="仿宋" w:eastAsia="仿宋"/>
                <w:color w:val="000000"/>
                <w:sz w:val="24"/>
              </w:rPr>
              <w:t>广义差分（</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六、虚拟变量回归</w:t>
            </w:r>
            <w:r>
              <w:rPr>
                <w:rFonts w:hint="eastAsia" w:ascii="仿宋" w:hAnsi="仿宋" w:eastAsia="仿宋"/>
                <w:b/>
                <w:bCs/>
                <w:color w:val="2E74B5"/>
                <w:sz w:val="24"/>
              </w:rPr>
              <w:t>（选择题考点）</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（一）虚拟变量含义及设置原则（</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（二）虚拟变量陷阱（</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七、时间序列计量经济学模型</w:t>
            </w:r>
            <w:r>
              <w:rPr>
                <w:rFonts w:hint="eastAsia" w:ascii="仿宋" w:hAnsi="仿宋" w:eastAsia="仿宋"/>
                <w:b/>
                <w:bCs/>
                <w:color w:val="2E74B5"/>
                <w:sz w:val="24"/>
              </w:rPr>
              <w:t>（掌握基本含义即可）</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（一）时间序列的平稳性及其检验（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（二）协整与误差修正模型（</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（三）格兰杰因果关系检验（</w:t>
            </w:r>
            <w:r>
              <w:rPr>
                <w:rFonts w:ascii="仿宋" w:hAnsi="仿宋" w:eastAsia="仿宋"/>
                <w:color w:val="000000"/>
                <w:sz w:val="24"/>
              </w:rPr>
              <w:t>*</w:t>
            </w:r>
            <w:r>
              <w:rPr>
                <w:rFonts w:hint="eastAsia" w:ascii="仿宋" w:hAnsi="仿宋" w:eastAsia="仿宋"/>
                <w:color w:val="000000"/>
                <w:sz w:val="24"/>
              </w:rPr>
              <w:t>）</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八、联立方程组模型</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（一）联立方程模型的识别的基本含义及条件（</w:t>
            </w:r>
            <w:r>
              <w:rPr>
                <w:rFonts w:ascii="仿宋" w:hAnsi="仿宋" w:eastAsia="仿宋"/>
                <w:color w:val="000000"/>
                <w:sz w:val="24"/>
              </w:rPr>
              <w:t>**</w:t>
            </w:r>
            <w:r>
              <w:rPr>
                <w:rFonts w:hint="eastAsia" w:ascii="仿宋" w:hAnsi="仿宋" w:eastAsia="仿宋"/>
                <w:color w:val="000000"/>
                <w:sz w:val="24"/>
              </w:rPr>
              <w:t>）</w:t>
            </w:r>
          </w:p>
          <w:p>
            <w:pPr>
              <w:snapToGrid w:val="0"/>
              <w:rPr>
                <w:rFonts w:ascii="仿宋" w:hAnsi="仿宋" w:eastAsia="仿宋" w:cs="仿宋"/>
                <w:b/>
                <w:sz w:val="24"/>
              </w:rPr>
            </w:pPr>
          </w:p>
          <w:p>
            <w:pPr>
              <w:snapToGrid w:val="0"/>
              <w:rPr>
                <w:rFonts w:ascii="仿宋" w:hAnsi="仿宋" w:eastAsia="仿宋" w:cs="仿宋"/>
                <w:b/>
                <w:sz w:val="24"/>
              </w:rPr>
            </w:pPr>
            <w:r>
              <w:rPr>
                <w:rFonts w:hint="eastAsia" w:ascii="仿宋" w:hAnsi="仿宋" w:eastAsia="仿宋" w:cs="仿宋"/>
                <w:b/>
                <w:sz w:val="24"/>
              </w:rPr>
              <w:t>建议参考以下教材：</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《西方经济学》（微观、宏观部分）第六版，中国人民大学出版社，高鸿业；</w:t>
            </w:r>
          </w:p>
          <w:p>
            <w:pPr>
              <w:spacing w:line="300" w:lineRule="auto"/>
              <w:ind w:firstLine="480" w:firstLineChars="200"/>
              <w:rPr>
                <w:rFonts w:ascii="仿宋" w:hAnsi="仿宋" w:eastAsia="仿宋"/>
                <w:color w:val="000000"/>
                <w:sz w:val="24"/>
              </w:rPr>
            </w:pPr>
            <w:r>
              <w:rPr>
                <w:rFonts w:hint="eastAsia" w:ascii="仿宋" w:hAnsi="仿宋" w:eastAsia="仿宋"/>
                <w:color w:val="000000"/>
                <w:sz w:val="24"/>
              </w:rPr>
              <w:t>《计量经济学》（第四版），高等教育出版社，李子奈，潘文卿；</w:t>
            </w:r>
          </w:p>
          <w:p>
            <w:pPr>
              <w:spacing w:line="300" w:lineRule="auto"/>
              <w:ind w:firstLine="480" w:firstLineChars="200"/>
              <w:rPr>
                <w:kern w:val="0"/>
                <w:sz w:val="24"/>
              </w:rPr>
            </w:pPr>
            <w:r>
              <w:rPr>
                <w:rFonts w:hint="eastAsia" w:ascii="仿宋" w:hAnsi="仿宋" w:eastAsia="仿宋"/>
                <w:color w:val="000000"/>
                <w:sz w:val="24"/>
              </w:rPr>
              <w:t>《计量经济学》（第三版），科学出版社，庞皓</w:t>
            </w:r>
          </w:p>
          <w:p>
            <w:pPr>
              <w:widowControl/>
              <w:snapToGrid w:val="0"/>
              <w:jc w:val="left"/>
              <w:rPr>
                <w:kern w:val="0"/>
                <w:sz w:val="24"/>
              </w:rPr>
            </w:pPr>
          </w:p>
          <w:p>
            <w:pPr>
              <w:widowControl/>
              <w:snapToGrid w:val="0"/>
              <w:jc w:val="left"/>
              <w:rPr>
                <w:kern w:val="0"/>
                <w:sz w:val="24"/>
              </w:rPr>
            </w:pPr>
            <w:r>
              <w:rPr>
                <w:rFonts w:hint="eastAsia" w:ascii="仿宋" w:hAnsi="仿宋" w:eastAsia="仿宋" w:cs="仿宋"/>
                <w:b/>
                <w:bCs/>
                <w:kern w:val="0"/>
                <w:sz w:val="24"/>
              </w:rPr>
              <w:t>※：本科目考试大纲可作为金融专业硕士考生复试考纲</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7C2E"/>
    <w:multiLevelType w:val="singleLevel"/>
    <w:tmpl w:val="59C47C2E"/>
    <w:lvl w:ilvl="0" w:tentative="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872FE"/>
    <w:rsid w:val="001778D7"/>
    <w:rsid w:val="00225F6E"/>
    <w:rsid w:val="002B7C07"/>
    <w:rsid w:val="00370BA0"/>
    <w:rsid w:val="00447D7E"/>
    <w:rsid w:val="006036FF"/>
    <w:rsid w:val="006C04E7"/>
    <w:rsid w:val="00862B49"/>
    <w:rsid w:val="00930ECE"/>
    <w:rsid w:val="00B312C6"/>
    <w:rsid w:val="00CC0E27"/>
    <w:rsid w:val="00EC49CA"/>
    <w:rsid w:val="00F1512A"/>
    <w:rsid w:val="00F168CD"/>
    <w:rsid w:val="00FF0F7C"/>
    <w:rsid w:val="179955D0"/>
    <w:rsid w:val="2C020335"/>
    <w:rsid w:val="35A62251"/>
    <w:rsid w:val="38BF1519"/>
    <w:rsid w:val="3BAB6C65"/>
    <w:rsid w:val="3DF07B9D"/>
    <w:rsid w:val="49F07FD6"/>
    <w:rsid w:val="537F30A4"/>
    <w:rsid w:val="5C4F2088"/>
    <w:rsid w:val="73AA51FC"/>
    <w:rsid w:val="756714EC"/>
    <w:rsid w:val="7BD22FD4"/>
    <w:rsid w:val="7F1872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9"/>
    <w:qFormat/>
    <w:uiPriority w:val="99"/>
    <w:pPr>
      <w:keepNext/>
      <w:keepLines/>
      <w:spacing w:beforeLines="20" w:afterLines="20"/>
      <w:outlineLvl w:val="1"/>
    </w:pPr>
    <w:rPr>
      <w:rFonts w:ascii="Cambria" w:hAnsi="Cambria"/>
      <w:b/>
      <w:bCs/>
      <w:sz w:val="28"/>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9"/>
    <w:rPr>
      <w:rFonts w:ascii="Calibri" w:hAnsi="Calibri"/>
      <w:b/>
      <w:bCs/>
      <w:kern w:val="44"/>
      <w:sz w:val="44"/>
      <w:szCs w:val="44"/>
    </w:rPr>
  </w:style>
  <w:style w:type="character" w:customStyle="1" w:styleId="9">
    <w:name w:val="标题 2 Char"/>
    <w:basedOn w:val="6"/>
    <w:link w:val="3"/>
    <w:semiHidden/>
    <w:qFormat/>
    <w:uiPriority w:val="9"/>
    <w:rPr>
      <w:rFonts w:asciiTheme="majorHAnsi" w:hAnsiTheme="majorHAnsi" w:eastAsiaTheme="majorEastAsia" w:cstheme="majorBidi"/>
      <w:b/>
      <w:bCs/>
      <w:sz w:val="32"/>
      <w:szCs w:val="32"/>
    </w:rPr>
  </w:style>
  <w:style w:type="character" w:customStyle="1" w:styleId="10">
    <w:name w:val="页眉 Char"/>
    <w:basedOn w:val="6"/>
    <w:link w:val="5"/>
    <w:qFormat/>
    <w:locked/>
    <w:uiPriority w:val="99"/>
    <w:rPr>
      <w:rFonts w:ascii="Calibri" w:hAnsi="Calibri" w:eastAsia="宋体" w:cs="Times New Roman"/>
      <w:kern w:val="2"/>
      <w:sz w:val="18"/>
      <w:szCs w:val="18"/>
    </w:rPr>
  </w:style>
  <w:style w:type="character" w:customStyle="1" w:styleId="11">
    <w:name w:val="页脚 Char"/>
    <w:basedOn w:val="6"/>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687</Words>
  <Characters>3922</Characters>
  <Lines>32</Lines>
  <Paragraphs>9</Paragraphs>
  <ScaleCrop>false</ScaleCrop>
  <LinksUpToDate>false</LinksUpToDate>
  <CharactersWithSpaces>4600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2017-10-09T02:28:00Z</dcterms:created>
  <dc:creator>Administrator</dc:creator>
  <cp:lastModifiedBy>罗俊杰</cp:lastModifiedBy>
  <dcterms:modified xsi:type="dcterms:W3CDTF">2017-10-09T09:41:39Z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